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840"/>
      </w:pP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216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Indice sin fon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600"/>
      </w:pPr>
    </w:p>
    <w:p>
      <w:pPr>
        <w:widowControl/>
        <w:jc w:val="center"/>
      </w:pPr>
      <w:r>
        <w:rPr>
          <w:rFonts w:ascii="Arial" w:hAnsi="Arial"/>
          <w:b/>
          <w:i w:val="0"/>
          <w:color w:val="3267D6"/>
          <w:sz w:val="22"/>
        </w:rPr>
        <w:t>GUÍA OPERATIVA</w:t>
      </w:r>
    </w:p>
    <w:p>
      <w:pPr>
        <w:widowControl/>
        <w:spacing w:after="140"/>
        <w:jc w:val="center"/>
      </w:pPr>
      <w:r>
        <w:rPr>
          <w:rFonts w:ascii="Arial" w:hAnsi="Arial"/>
          <w:b/>
          <w:i w:val="0"/>
          <w:color w:val="222831"/>
          <w:sz w:val="50"/>
        </w:rPr>
        <w:t>Sesión de consultoría comercial Índice</w:t>
      </w:r>
    </w:p>
    <w:p>
      <w:pPr>
        <w:widowControl/>
        <w:spacing w:after="1300"/>
        <w:jc w:val="center"/>
      </w:pPr>
      <w:r>
        <w:rPr>
          <w:rFonts w:ascii="Arial" w:hAnsi="Arial"/>
          <w:b w:val="0"/>
          <w:i w:val="0"/>
          <w:color w:val="6B7280"/>
          <w:sz w:val="26"/>
        </w:rPr>
        <w:t>Cómo diagnosticar una empresa, recomendar la solución correcta y conducir el cierre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7F3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267D6"/>
                <w:sz w:val="20"/>
              </w:rPr>
              <w:t xml:space="preserve">Objetivo.  </w:t>
            </w:r>
            <w:r>
              <w:rPr>
                <w:rFonts w:ascii="Arial" w:hAnsi="Arial"/>
                <w:b w:val="0"/>
                <w:i w:val="0"/>
                <w:color w:val="222831"/>
                <w:sz w:val="20"/>
              </w:rPr>
              <w:t>Estandarizar una sesión de 60 a 90 minutos que entregue valor real al prospecto y convierta el diagnóstico en una recomendación comercial clara.</w:t>
            </w:r>
          </w:p>
        </w:tc>
      </w:tr>
    </w:tbl>
    <w:p>
      <w:pPr>
        <w:widowControl/>
        <w:spacing w:after="0"/>
      </w:pPr>
    </w:p>
    <w:p>
      <w:pPr>
        <w:widowControl/>
        <w:spacing w:before="800"/>
        <w:jc w:val="center"/>
      </w:pPr>
      <w:r>
        <w:rPr>
          <w:rFonts w:ascii="Arial" w:hAnsi="Arial"/>
          <w:b w:val="0"/>
          <w:i w:val="0"/>
          <w:color w:val="6B7280"/>
          <w:sz w:val="18"/>
        </w:rPr>
        <w:t>Versión 1.0  ·  Agosto de 2026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1. Principio comercial</w:t>
      </w:r>
    </w:p>
    <w:p>
      <w:pPr>
        <w:widowControl/>
      </w:pPr>
      <w:r>
        <w:rPr>
          <w:rFonts w:ascii="Arial" w:hAnsi="Arial"/>
          <w:b w:val="0"/>
          <w:i w:val="0"/>
          <w:color w:val="222831"/>
          <w:sz w:val="20"/>
        </w:rPr>
        <w:t>Índice no se vende bien como una demostración rápida de software. Es una solución integral y modular; por eso el prospecto necesita comprender primero dónde está perdiendo control y cómo esa pérdida afecta su operación.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7F3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267D6"/>
                <w:sz w:val="20"/>
              </w:rPr>
              <w:t xml:space="preserve">Objetivo real de la prospección.  </w:t>
            </w:r>
            <w:r>
              <w:rPr>
                <w:rFonts w:ascii="Arial" w:hAnsi="Arial"/>
                <w:b w:val="0"/>
                <w:i w:val="0"/>
                <w:color w:val="222831"/>
                <w:sz w:val="20"/>
              </w:rPr>
              <w:t>No es cerrar la venta en el primer contacto. Es conseguir que el prospecto acepte una sesión de diagnóstico o presentación consultiva.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1.1 La lógica del proceso</w:t>
      </w:r>
    </w:p>
    <w:tbl>
      <w:tblPr>
        <w:tblStyle w:val="TableGrid"/>
        <w:tblW w:type="dxa" w:w="9522"/>
        <w:tblLayout w:type="fixed"/>
        <w:tblLook w:firstColumn="1" w:firstRow="1" w:lastColumn="0" w:lastRow="0" w:noHBand="0" w:noVBand="1" w:val="04A0"/>
        <w:tblInd w:w="120" w:type="dxa"/>
      </w:tblPr>
      <w:tblGrid>
        <w:gridCol w:w="1870"/>
        <w:gridCol w:w="3571"/>
        <w:gridCol w:w="4081"/>
      </w:tblGrid>
      <w:tr>
        <w:trPr>
          <w:tblHeader w:val="true"/>
        </w:trPr>
        <w:tc>
          <w:tcPr>
            <w:tcW w:type="dxa" w:w="1870"/>
            <w:shd w:fill="3267D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Etapa</w:t>
            </w:r>
          </w:p>
        </w:tc>
        <w:tc>
          <w:tcPr>
            <w:tcW w:type="dxa" w:w="3571"/>
            <w:shd w:fill="3267D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Objetivo</w:t>
            </w:r>
          </w:p>
        </w:tc>
        <w:tc>
          <w:tcPr>
            <w:tcW w:type="dxa" w:w="4081"/>
            <w:shd w:fill="3267D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18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Prospección</w:t>
            </w:r>
          </w:p>
        </w:tc>
        <w:tc>
          <w:tcPr>
            <w:tcW w:type="dxa" w:w="35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Generar interés suficiente para aceptar una conversación de diagnóstico.</w:t>
            </w:r>
          </w:p>
        </w:tc>
        <w:tc>
          <w:tcPr>
            <w:tcW w:type="dxa" w:w="40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Sesión agendada con decisor y tiempo reservado.</w:t>
            </w:r>
          </w:p>
        </w:tc>
      </w:tr>
      <w:tr>
        <w:tc>
          <w:tcPr>
            <w:tcW w:type="dxa" w:w="1870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Consultoría</w:t>
            </w:r>
          </w:p>
        </w:tc>
        <w:tc>
          <w:tcPr>
            <w:tcW w:type="dxa" w:w="3571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Entender la empresa, mapear problemas y priorizar necesidades.</w:t>
            </w:r>
          </w:p>
        </w:tc>
        <w:tc>
          <w:tcPr>
            <w:tcW w:type="dxa" w:w="4081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Mapa general y dolores confirmados por el cliente.</w:t>
            </w:r>
          </w:p>
        </w:tc>
      </w:tr>
      <w:tr>
        <w:tc>
          <w:tcPr>
            <w:tcW w:type="dxa" w:w="18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Recomendación</w:t>
            </w:r>
          </w:p>
        </w:tc>
        <w:tc>
          <w:tcPr>
            <w:tcW w:type="dxa" w:w="35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Relacionar problemas con módulos y una ruta de adopción.</w:t>
            </w:r>
          </w:p>
        </w:tc>
        <w:tc>
          <w:tcPr>
            <w:tcW w:type="dxa" w:w="40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Configuración propuesta con valor explicado.</w:t>
            </w:r>
          </w:p>
        </w:tc>
      </w:tr>
      <w:tr>
        <w:tc>
          <w:tcPr>
            <w:tcW w:type="dxa" w:w="1870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Negociación</w:t>
            </w:r>
          </w:p>
        </w:tc>
        <w:tc>
          <w:tcPr>
            <w:tcW w:type="dxa" w:w="3571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Proteger precio y aumentar valor con condiciones autorizadas.</w:t>
            </w:r>
          </w:p>
        </w:tc>
        <w:tc>
          <w:tcPr>
            <w:tcW w:type="dxa" w:w="4081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Acuerdo comercial o siguiente paso definido.</w:t>
            </w:r>
          </w:p>
        </w:tc>
      </w:tr>
      <w:tr>
        <w:tc>
          <w:tcPr>
            <w:tcW w:type="dxa" w:w="18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Seguimiento</w:t>
            </w:r>
          </w:p>
        </w:tc>
        <w:tc>
          <w:tcPr>
            <w:tcW w:type="dxa" w:w="35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Mantener impulso y resolver pendientes.</w:t>
            </w:r>
          </w:p>
        </w:tc>
        <w:tc>
          <w:tcPr>
            <w:tcW w:type="dxa" w:w="40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Decisión, prueba, propuesta o nueva reunión con fecha.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1.2 Reglas no negociables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Escuchar antes de presentar.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No recomendar módulos sin entender el problema.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No convertir la sesión en interrogatorio ni demostración interminable.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No prometer funciones, precios o promociones no confirmadas.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No bajar precio como primera respuesta; primero aumentar valor.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Cerrar siempre con un siguiente paso, responsable y fecha.</w:t>
      </w:r>
    </w:p>
    <w:p>
      <w:pPr>
        <w:pStyle w:val="Heading1"/>
        <w:widowControl/>
      </w:pPr>
      <w:r>
        <w:t>2. Antes de la sesión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Confirmar que participará el dueño, director o persona con capacidad de decisión.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Reservar entre 60 y 90 minutos sin interrupciones.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Investigar giro, tamaño, ubicaciones y presencia digital de la empresa.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Preparar hoja de mapa empresarial, lista de preguntas y acceso a una demo pertinente.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Confirmar promociones vigentes y límites de negociación autorizados.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Definir el objetivo mínimo: diagnóstico completo y siguiente paso acordado.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3F6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267D6"/>
                <w:sz w:val="20"/>
              </w:rPr>
              <w:t xml:space="preserve">Mensaje sugerido para agendar.  </w:t>
            </w:r>
            <w:r>
              <w:rPr>
                <w:rFonts w:ascii="Arial" w:hAnsi="Arial"/>
                <w:b w:val="0"/>
                <w:i w:val="0"/>
                <w:color w:val="222831"/>
                <w:sz w:val="20"/>
              </w:rPr>
              <w:t>“Nos gustaría ofrecerle una sesión sin costo para entender cómo opera su empresa, detectar dónde se está perdiendo control y mostrarle únicamente las soluciones que tengan sentido para su negocio.”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3. Programa de la sesión</w:t>
      </w:r>
    </w:p>
    <w:tbl>
      <w:tblPr>
        <w:tblStyle w:val="TableGrid"/>
        <w:tblW w:type="dxa" w:w="9523"/>
        <w:tblLayout w:type="fixed"/>
        <w:tblLook w:firstColumn="1" w:firstRow="1" w:lastColumn="0" w:lastRow="0" w:noHBand="0" w:noVBand="1" w:val="04A0"/>
        <w:tblInd w:w="120" w:type="dxa"/>
      </w:tblPr>
      <w:tblGrid>
        <w:gridCol w:w="1587"/>
        <w:gridCol w:w="2437"/>
        <w:gridCol w:w="5499"/>
      </w:tblGrid>
      <w:tr>
        <w:trPr>
          <w:tblHeader w:val="true"/>
        </w:trPr>
        <w:tc>
          <w:tcPr>
            <w:tcW w:type="dxa" w:w="1587"/>
            <w:shd w:fill="3267D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Tiempo</w:t>
            </w:r>
          </w:p>
        </w:tc>
        <w:tc>
          <w:tcPr>
            <w:tcW w:type="dxa" w:w="2437"/>
            <w:shd w:fill="3267D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Bloque</w:t>
            </w:r>
          </w:p>
        </w:tc>
        <w:tc>
          <w:tcPr>
            <w:tcW w:type="dxa" w:w="5499"/>
            <w:shd w:fill="3267D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Trabajo del consultor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0–10 min</w:t>
            </w:r>
          </w:p>
        </w:tc>
        <w:tc>
          <w:tcPr>
            <w:tcW w:type="dxa" w:w="24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Conexión y contexto</w:t>
            </w:r>
          </w:p>
        </w:tc>
        <w:tc>
          <w:tcPr>
            <w:tcW w:type="dxa" w:w="54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Romper el hielo, establecer confianza y explicar el propósito de la sesión.</w:t>
            </w:r>
          </w:p>
        </w:tc>
      </w:tr>
      <w:tr>
        <w:tc>
          <w:tcPr>
            <w:tcW w:type="dxa" w:w="1587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10–20 min</w:t>
            </w:r>
          </w:p>
        </w:tc>
        <w:tc>
          <w:tcPr>
            <w:tcW w:type="dxa" w:w="2437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Panorama general</w:t>
            </w:r>
          </w:p>
        </w:tc>
        <w:tc>
          <w:tcPr>
            <w:tcW w:type="dxa" w:w="5499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Conocer giro, tamaño, unidades, equipo y forma actual de operar.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20–45 min</w:t>
            </w:r>
          </w:p>
        </w:tc>
        <w:tc>
          <w:tcPr>
            <w:tcW w:type="dxa" w:w="24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Mapa de la empresa</w:t>
            </w:r>
          </w:p>
        </w:tc>
        <w:tc>
          <w:tcPr>
            <w:tcW w:type="dxa" w:w="54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Explorar Personas, Procesos, Productos y Finanzas.</w:t>
            </w:r>
          </w:p>
        </w:tc>
      </w:tr>
      <w:tr>
        <w:tc>
          <w:tcPr>
            <w:tcW w:type="dxa" w:w="1587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45–60 min</w:t>
            </w:r>
          </w:p>
        </w:tc>
        <w:tc>
          <w:tcPr>
            <w:tcW w:type="dxa" w:w="2437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Dolores y prioridades</w:t>
            </w:r>
          </w:p>
        </w:tc>
        <w:tc>
          <w:tcPr>
            <w:tcW w:type="dxa" w:w="5499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Identificar fugas de control, consecuencias y urgencia.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60–75 min</w:t>
            </w:r>
          </w:p>
        </w:tc>
        <w:tc>
          <w:tcPr>
            <w:tcW w:type="dxa" w:w="24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Recomendación</w:t>
            </w:r>
          </w:p>
        </w:tc>
        <w:tc>
          <w:tcPr>
            <w:tcW w:type="dxa" w:w="54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Presentar módulos prioritarios y ruta de implementación.</w:t>
            </w:r>
          </w:p>
        </w:tc>
      </w:tr>
      <w:tr>
        <w:tc>
          <w:tcPr>
            <w:tcW w:type="dxa" w:w="1587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75–90 min</w:t>
            </w:r>
          </w:p>
        </w:tc>
        <w:tc>
          <w:tcPr>
            <w:tcW w:type="dxa" w:w="2437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Precio y cierre</w:t>
            </w:r>
          </w:p>
        </w:tc>
        <w:tc>
          <w:tcPr>
            <w:tcW w:type="dxa" w:w="5499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Resolver preguntas, proteger valor y acordar el siguiente paso.</w:t>
            </w:r>
          </w:p>
        </w:tc>
      </w:tr>
    </w:tbl>
    <w:p>
      <w:pPr>
        <w:widowControl/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7F3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267D6"/>
                <w:sz w:val="20"/>
              </w:rPr>
              <w:t xml:space="preserve">Duración flexible.  </w:t>
            </w:r>
            <w:r>
              <w:rPr>
                <w:rFonts w:ascii="Arial" w:hAnsi="Arial"/>
                <w:b w:val="0"/>
                <w:i w:val="0"/>
                <w:color w:val="222831"/>
                <w:sz w:val="20"/>
              </w:rPr>
              <w:t>En una sesión de 60 minutos, reduzca la exploración a los dolores críticos. Nunca elimine el diagnóstico ni el cierre.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4. Conducción de la conversación</w:t>
      </w:r>
    </w:p>
    <w:p>
      <w:pPr>
        <w:pStyle w:val="Heading2"/>
        <w:widowControl/>
      </w:pPr>
      <w:r>
        <w:t>4.1 Apertura: 0–10 minutos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Saludar con naturalidad y crear una conversación humana.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Preguntar cómo nació la empresa o qué cambio importante está viviendo.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Evitar bromas excesivas o temas sensibles; la confianza no debe consumir la sesión.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Explicar que la conversación no busca imponer un paquete, sino entender la operación.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7F3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267D6"/>
                <w:sz w:val="20"/>
              </w:rPr>
              <w:t xml:space="preserve">Frase de transición.  </w:t>
            </w:r>
            <w:r>
              <w:rPr>
                <w:rFonts w:ascii="Arial" w:hAnsi="Arial"/>
                <w:b w:val="0"/>
                <w:i w:val="0"/>
                <w:color w:val="222831"/>
                <w:sz w:val="20"/>
              </w:rPr>
              <w:t>“Para recomendarle algo útil, primero necesito entender cómo funciona hoy su empresa. Voy a hacerle algunas preguntas sencillas y construiremos juntos un mapa general.”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4.2 Panorama general: 10–20 minutos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¿A qué se dedica la empresa y quién es su cliente principal?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¿Cuántas personas trabajan y cuántas ubicaciones o unidades de negocio existen?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¿Qué parte del negocio depende directamente del dueño?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¿Qué herramientas utilizan hoy: Excel, WhatsApp, sistema contable, punto de venta u otras?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¿Qué situación motivó esta conversación ahora?</w:t>
      </w:r>
    </w:p>
    <w:p>
      <w:pPr>
        <w:pStyle w:val="Heading2"/>
        <w:widowControl/>
      </w:pPr>
      <w:r>
        <w:t>4.3 Técnica de entrevista</w:t>
      </w:r>
    </w:p>
    <w:tbl>
      <w:tblPr>
        <w:tblStyle w:val="TableGrid"/>
        <w:tblW w:type="dxa" w:w="9524"/>
        <w:tblLayout w:type="fixed"/>
        <w:tblLook w:firstColumn="1" w:firstRow="1" w:lastColumn="0" w:lastRow="0" w:noHBand="0" w:noVBand="1" w:val="04A0"/>
        <w:tblInd w:w="120" w:type="dxa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shd w:fill="3267D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Hacer</w:t>
            </w:r>
          </w:p>
        </w:tc>
        <w:tc>
          <w:tcPr>
            <w:tcW w:type="dxa" w:w="4762"/>
            <w:shd w:fill="3267D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Evitar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Preguntas abiertas y una repregunta concreta.</w:t>
            </w:r>
          </w:p>
        </w:tc>
        <w:tc>
          <w:tcPr>
            <w:tcW w:type="dxa" w:w="47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Leer una lista de preguntas sin escuchar.</w:t>
            </w:r>
          </w:p>
        </w:tc>
      </w:tr>
      <w:tr>
        <w:tc>
          <w:tcPr>
            <w:tcW w:type="dxa" w:w="4762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Anotar palabras exactas del cliente.</w:t>
            </w:r>
          </w:p>
        </w:tc>
        <w:tc>
          <w:tcPr>
            <w:tcW w:type="dxa" w:w="4762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Interpretar demasiado pronto.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Pedir ejemplos recientes.</w:t>
            </w:r>
          </w:p>
        </w:tc>
        <w:tc>
          <w:tcPr>
            <w:tcW w:type="dxa" w:w="47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Aceptar respuestas vagas como “todo está bien”.</w:t>
            </w:r>
          </w:p>
        </w:tc>
      </w:tr>
      <w:tr>
        <w:tc>
          <w:tcPr>
            <w:tcW w:type="dxa" w:w="4762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Cuantificar frecuencia, tiempo o dinero cuando sea posible.</w:t>
            </w:r>
          </w:p>
        </w:tc>
        <w:tc>
          <w:tcPr>
            <w:tcW w:type="dxa" w:w="4762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Inventar pérdidas o beneficios.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Confirmar: “¿Entendí correctamente que…?”</w:t>
            </w:r>
          </w:p>
        </w:tc>
        <w:tc>
          <w:tcPr>
            <w:tcW w:type="dxa" w:w="47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Asumir que ya conoce el problema.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5. Mapa empresarial de cuatro pilares</w:t>
      </w:r>
    </w:p>
    <w:p>
      <w:pPr>
        <w:widowControl/>
      </w:pPr>
      <w:r>
        <w:rPr>
          <w:rFonts w:ascii="Arial" w:hAnsi="Arial"/>
          <w:b w:val="0"/>
          <w:i w:val="0"/>
          <w:color w:val="222831"/>
          <w:sz w:val="20"/>
        </w:rPr>
        <w:t>El mapa permite comprender la empresa sin abrumar al cliente. No busca documentar cada procedimiento; busca detectar responsables, flujos, productos y controles financieros esenciales.</w:t>
      </w:r>
    </w:p>
    <w:tbl>
      <w:tblPr>
        <w:tblStyle w:val="TableGrid"/>
        <w:tblW w:type="dxa" w:w="9523"/>
        <w:tblLayout w:type="fixed"/>
        <w:tblLook w:firstColumn="1" w:firstRow="1" w:lastColumn="0" w:lastRow="0" w:noHBand="0" w:noVBand="1" w:val="04A0"/>
        <w:tblInd w:w="120" w:type="dxa"/>
      </w:tblPr>
      <w:tblGrid>
        <w:gridCol w:w="1757"/>
        <w:gridCol w:w="3458"/>
        <w:gridCol w:w="4308"/>
      </w:tblGrid>
      <w:tr>
        <w:trPr>
          <w:tblHeader w:val="true"/>
        </w:trPr>
        <w:tc>
          <w:tcPr>
            <w:tcW w:type="dxa" w:w="1757"/>
            <w:shd w:fill="3267D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Pilar</w:t>
            </w:r>
          </w:p>
        </w:tc>
        <w:tc>
          <w:tcPr>
            <w:tcW w:type="dxa" w:w="3458"/>
            <w:shd w:fill="3267D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Qué debe entenderse</w:t>
            </w:r>
          </w:p>
        </w:tc>
        <w:tc>
          <w:tcPr>
            <w:tcW w:type="dxa" w:w="4308"/>
            <w:shd w:fill="3267D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Preguntas orientadoras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Personas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Quién trabaja, qué función realiza y cómo se controla su desempeño.</w:t>
            </w:r>
          </w:p>
        </w:tc>
        <w:tc>
          <w:tcPr>
            <w:tcW w:type="dxa" w:w="43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¿Quiénes son clave? ¿Qué hace cada puesto? ¿Cómo controlan asistencia, documentos y responsabilidades?</w:t>
            </w:r>
          </w:p>
        </w:tc>
      </w:tr>
      <w:tr>
        <w:tc>
          <w:tcPr>
            <w:tcW w:type="dxa" w:w="1757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Procesos</w:t>
            </w:r>
          </w:p>
        </w:tc>
        <w:tc>
          <w:tcPr>
            <w:tcW w:type="dxa" w:w="3458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Cómo se ejecuta el trabajo diario y dónde se pierde seguimiento.</w:t>
            </w:r>
          </w:p>
        </w:tc>
        <w:tc>
          <w:tcPr>
            <w:tcW w:type="dxa" w:w="4308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¿Cómo asignan tareas? ¿Quién verifica? ¿Qué se retrasa, se repite o depende del dueño?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Productos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Qué vende la empresa, qué es prioritario y cómo controla existencias o entrega.</w:t>
            </w:r>
          </w:p>
        </w:tc>
        <w:tc>
          <w:tcPr>
            <w:tcW w:type="dxa" w:w="43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¿Cuáles son sus productos o servicios? ¿Cuál vende más? ¿Cuántas unidades o ubicaciones existen?</w:t>
            </w:r>
          </w:p>
        </w:tc>
      </w:tr>
      <w:tr>
        <w:tc>
          <w:tcPr>
            <w:tcW w:type="dxa" w:w="1757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Finanzas</w:t>
            </w:r>
          </w:p>
        </w:tc>
        <w:tc>
          <w:tcPr>
            <w:tcW w:type="dxa" w:w="3458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Cómo registra dinero, gastos, caja y resultados.</w:t>
            </w:r>
          </w:p>
        </w:tc>
        <w:tc>
          <w:tcPr>
            <w:tcW w:type="dxa" w:w="4308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¿Cómo llevan contabilidad? ¿Quién autoriza gastos? ¿Cómo controlan caja chica? ¿Saben qué deja utilidad?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6. Hoja de trabajo: mapa de la empresa</w:t>
      </w:r>
    </w:p>
    <w:p>
      <w:pPr>
        <w:widowControl/>
        <w:spacing w:after="140"/>
      </w:pPr>
      <w:r>
        <w:rPr>
          <w:rFonts w:ascii="Arial" w:hAnsi="Arial"/>
          <w:b/>
          <w:i w:val="0"/>
          <w:color w:val="222831"/>
          <w:sz w:val="20"/>
        </w:rPr>
        <w:t>Empresa: ______________________________     Consultor: ______________________________</w:t>
      </w:r>
    </w:p>
    <w:p>
      <w:pPr>
        <w:widowControl/>
        <w:spacing w:after="200"/>
      </w:pPr>
      <w:r>
        <w:rPr>
          <w:rFonts w:ascii="Arial" w:hAnsi="Arial"/>
          <w:b w:val="0"/>
          <w:i w:val="0"/>
          <w:color w:val="222831"/>
          <w:sz w:val="20"/>
        </w:rPr>
        <w:t>Fecha: __________________     Decisor presente: __________________     Empleados: __________</w:t>
      </w:r>
    </w:p>
    <w:tbl>
      <w:tblPr>
        <w:tblStyle w:val="TableGrid"/>
        <w:tblW w:type="dxa" w:w="9524"/>
        <w:tblLayout w:type="fixed"/>
        <w:tblLook w:firstColumn="1" w:firstRow="1" w:lastColumn="0" w:lastRow="0" w:noHBand="0" w:noVBand="1" w:val="04A0"/>
        <w:tblInd w:w="120" w:type="dxa"/>
      </w:tblPr>
      <w:tblGrid>
        <w:gridCol w:w="4762"/>
        <w:gridCol w:w="4762"/>
      </w:tblGrid>
      <w:tr>
        <w:tc>
          <w:tcPr>
            <w:tcW w:type="dxa" w:w="4762"/>
            <w:shd w:fill="FFFFFF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i w:val="0"/>
                <w:color w:val="FF6B5E"/>
                <w:sz w:val="24"/>
              </w:rPr>
              <w:t>PERSONAS</w:t>
            </w:r>
          </w:p>
          <w:p>
            <w:pPr>
              <w:spacing w:after="140"/>
            </w:pPr>
            <w:r>
              <w:rPr>
                <w:rFonts w:ascii="Arial" w:hAnsi="Arial"/>
                <w:b w:val="0"/>
                <w:i w:val="0"/>
                <w:color w:val="6B7280"/>
                <w:sz w:val="17"/>
              </w:rPr>
              <w:t>Empleados, puestos, responsables, asistencia, documentos, desempeño.</w:t>
            </w:r>
          </w:p>
          <w:p>
            <w:pPr>
              <w:spacing w:after="100" w:line="240" w:lineRule="auto"/>
            </w:pPr>
            <w:r>
              <w:rPr>
                <w:rFonts w:ascii="Arial" w:hAnsi="Arial"/>
                <w:b w:val="0"/>
                <w:i w:val="0"/>
                <w:color w:val="B8C0CC"/>
                <w:sz w:val="16"/>
              </w:rPr>
              <w:t>________________________________________________________________</w:t>
            </w:r>
          </w:p>
          <w:p>
            <w:pPr>
              <w:spacing w:after="100" w:line="240" w:lineRule="auto"/>
            </w:pPr>
            <w:r>
              <w:rPr>
                <w:rFonts w:ascii="Arial" w:hAnsi="Arial"/>
                <w:b w:val="0"/>
                <w:i w:val="0"/>
                <w:color w:val="B8C0CC"/>
                <w:sz w:val="16"/>
              </w:rPr>
              <w:t>________________________________________________________________</w:t>
            </w:r>
          </w:p>
          <w:p>
            <w:pPr>
              <w:spacing w:after="100" w:line="240" w:lineRule="auto"/>
            </w:pPr>
            <w:r>
              <w:rPr>
                <w:rFonts w:ascii="Arial" w:hAnsi="Arial"/>
                <w:b w:val="0"/>
                <w:i w:val="0"/>
                <w:color w:val="B8C0CC"/>
                <w:sz w:val="16"/>
              </w:rPr>
              <w:t>________________________________________________________________</w:t>
            </w:r>
          </w:p>
          <w:p>
            <w:pPr>
              <w:spacing w:after="100" w:line="240" w:lineRule="auto"/>
            </w:pPr>
            <w:r>
              <w:rPr>
                <w:rFonts w:ascii="Arial" w:hAnsi="Arial"/>
                <w:b w:val="0"/>
                <w:i w:val="0"/>
                <w:color w:val="B8C0CC"/>
                <w:sz w:val="16"/>
              </w:rPr>
              <w:t>________________________________________________________________</w:t>
            </w:r>
          </w:p>
          <w:p>
            <w:pPr>
              <w:spacing w:after="100" w:line="240" w:lineRule="auto"/>
            </w:pPr>
            <w:r>
              <w:rPr>
                <w:rFonts w:ascii="Arial" w:hAnsi="Arial"/>
                <w:b w:val="0"/>
                <w:i w:val="0"/>
                <w:color w:val="B8C0CC"/>
                <w:sz w:val="16"/>
              </w:rPr>
              <w:t>________________________________________________________________</w:t>
            </w:r>
          </w:p>
          <w:p>
            <w:pPr>
              <w:spacing w:after="100" w:line="240" w:lineRule="auto"/>
            </w:pPr>
            <w:r>
              <w:rPr>
                <w:rFonts w:ascii="Arial" w:hAnsi="Arial"/>
                <w:b w:val="0"/>
                <w:i w:val="0"/>
                <w:color w:val="B8C0CC"/>
                <w:sz w:val="16"/>
              </w:rPr>
              <w:t>________________________________________________________________</w:t>
            </w:r>
          </w:p>
          <w:p>
            <w:pPr>
              <w:spacing w:after="100" w:line="240" w:lineRule="auto"/>
            </w:pPr>
            <w:r>
              <w:rPr>
                <w:rFonts w:ascii="Arial" w:hAnsi="Arial"/>
                <w:b w:val="0"/>
                <w:i w:val="0"/>
                <w:color w:val="B8C0CC"/>
                <w:sz w:val="16"/>
              </w:rPr>
              <w:t>________________________________________________________________</w:t>
            </w:r>
          </w:p>
        </w:tc>
        <w:tc>
          <w:tcPr>
            <w:tcW w:type="dxa" w:w="4762"/>
            <w:shd w:fill="FFFFFF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i w:val="0"/>
                <w:color w:val="F4C84A"/>
                <w:sz w:val="24"/>
              </w:rPr>
              <w:t>PROCESOS</w:t>
            </w:r>
          </w:p>
          <w:p>
            <w:pPr>
              <w:spacing w:after="140"/>
            </w:pPr>
            <w:r>
              <w:rPr>
                <w:rFonts w:ascii="Arial" w:hAnsi="Arial"/>
                <w:b w:val="0"/>
                <w:i w:val="0"/>
                <w:color w:val="6B7280"/>
                <w:sz w:val="17"/>
              </w:rPr>
              <w:t>Tareas, operación diaria, responsables, seguimiento, retrasos, errores.</w:t>
            </w:r>
          </w:p>
          <w:p>
            <w:pPr>
              <w:spacing w:after="100" w:line="240" w:lineRule="auto"/>
            </w:pPr>
            <w:r>
              <w:rPr>
                <w:rFonts w:ascii="Arial" w:hAnsi="Arial"/>
                <w:b w:val="0"/>
                <w:i w:val="0"/>
                <w:color w:val="B8C0CC"/>
                <w:sz w:val="16"/>
              </w:rPr>
              <w:t>________________________________________________________________</w:t>
            </w:r>
          </w:p>
          <w:p>
            <w:pPr>
              <w:spacing w:after="100" w:line="240" w:lineRule="auto"/>
            </w:pPr>
            <w:r>
              <w:rPr>
                <w:rFonts w:ascii="Arial" w:hAnsi="Arial"/>
                <w:b w:val="0"/>
                <w:i w:val="0"/>
                <w:color w:val="B8C0CC"/>
                <w:sz w:val="16"/>
              </w:rPr>
              <w:t>________________________________________________________________</w:t>
            </w:r>
          </w:p>
          <w:p>
            <w:pPr>
              <w:spacing w:after="100" w:line="240" w:lineRule="auto"/>
            </w:pPr>
            <w:r>
              <w:rPr>
                <w:rFonts w:ascii="Arial" w:hAnsi="Arial"/>
                <w:b w:val="0"/>
                <w:i w:val="0"/>
                <w:color w:val="B8C0CC"/>
                <w:sz w:val="16"/>
              </w:rPr>
              <w:t>________________________________________________________________</w:t>
            </w:r>
          </w:p>
          <w:p>
            <w:pPr>
              <w:spacing w:after="100" w:line="240" w:lineRule="auto"/>
            </w:pPr>
            <w:r>
              <w:rPr>
                <w:rFonts w:ascii="Arial" w:hAnsi="Arial"/>
                <w:b w:val="0"/>
                <w:i w:val="0"/>
                <w:color w:val="B8C0CC"/>
                <w:sz w:val="16"/>
              </w:rPr>
              <w:t>________________________________________________________________</w:t>
            </w:r>
          </w:p>
          <w:p>
            <w:pPr>
              <w:spacing w:after="100" w:line="240" w:lineRule="auto"/>
            </w:pPr>
            <w:r>
              <w:rPr>
                <w:rFonts w:ascii="Arial" w:hAnsi="Arial"/>
                <w:b w:val="0"/>
                <w:i w:val="0"/>
                <w:color w:val="B8C0CC"/>
                <w:sz w:val="16"/>
              </w:rPr>
              <w:t>________________________________________________________________</w:t>
            </w:r>
          </w:p>
          <w:p>
            <w:pPr>
              <w:spacing w:after="100" w:line="240" w:lineRule="auto"/>
            </w:pPr>
            <w:r>
              <w:rPr>
                <w:rFonts w:ascii="Arial" w:hAnsi="Arial"/>
                <w:b w:val="0"/>
                <w:i w:val="0"/>
                <w:color w:val="B8C0CC"/>
                <w:sz w:val="16"/>
              </w:rPr>
              <w:t>________________________________________________________________</w:t>
            </w:r>
          </w:p>
          <w:p>
            <w:pPr>
              <w:spacing w:after="100" w:line="240" w:lineRule="auto"/>
            </w:pPr>
            <w:r>
              <w:rPr>
                <w:rFonts w:ascii="Arial" w:hAnsi="Arial"/>
                <w:b w:val="0"/>
                <w:i w:val="0"/>
                <w:color w:val="B8C0CC"/>
                <w:sz w:val="16"/>
              </w:rPr>
              <w:t>________________________________________________________________</w:t>
            </w:r>
          </w:p>
        </w:tc>
      </w:tr>
      <w:tr>
        <w:tc>
          <w:tcPr>
            <w:tcW w:type="dxa" w:w="4762"/>
            <w:shd w:fill="FFFFFF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i w:val="0"/>
                <w:color w:val="59C3A5"/>
                <w:sz w:val="24"/>
              </w:rPr>
              <w:t>PRODUCTOS</w:t>
            </w:r>
          </w:p>
          <w:p>
            <w:pPr>
              <w:spacing w:after="140"/>
            </w:pPr>
            <w:r>
              <w:rPr>
                <w:rFonts w:ascii="Arial" w:hAnsi="Arial"/>
                <w:b w:val="0"/>
                <w:i w:val="0"/>
                <w:color w:val="6B7280"/>
                <w:sz w:val="17"/>
              </w:rPr>
              <w:t>Productos/servicios, más vendido, inventario, ubicaciones, unidades de negocio.</w:t>
            </w:r>
          </w:p>
          <w:p>
            <w:pPr>
              <w:spacing w:after="100" w:line="240" w:lineRule="auto"/>
            </w:pPr>
            <w:r>
              <w:rPr>
                <w:rFonts w:ascii="Arial" w:hAnsi="Arial"/>
                <w:b w:val="0"/>
                <w:i w:val="0"/>
                <w:color w:val="B8C0CC"/>
                <w:sz w:val="16"/>
              </w:rPr>
              <w:t>________________________________________________________________</w:t>
            </w:r>
          </w:p>
          <w:p>
            <w:pPr>
              <w:spacing w:after="100" w:line="240" w:lineRule="auto"/>
            </w:pPr>
            <w:r>
              <w:rPr>
                <w:rFonts w:ascii="Arial" w:hAnsi="Arial"/>
                <w:b w:val="0"/>
                <w:i w:val="0"/>
                <w:color w:val="B8C0CC"/>
                <w:sz w:val="16"/>
              </w:rPr>
              <w:t>________________________________________________________________</w:t>
            </w:r>
          </w:p>
          <w:p>
            <w:pPr>
              <w:spacing w:after="100" w:line="240" w:lineRule="auto"/>
            </w:pPr>
            <w:r>
              <w:rPr>
                <w:rFonts w:ascii="Arial" w:hAnsi="Arial"/>
                <w:b w:val="0"/>
                <w:i w:val="0"/>
                <w:color w:val="B8C0CC"/>
                <w:sz w:val="16"/>
              </w:rPr>
              <w:t>________________________________________________________________</w:t>
            </w:r>
          </w:p>
          <w:p>
            <w:pPr>
              <w:spacing w:after="100" w:line="240" w:lineRule="auto"/>
            </w:pPr>
            <w:r>
              <w:rPr>
                <w:rFonts w:ascii="Arial" w:hAnsi="Arial"/>
                <w:b w:val="0"/>
                <w:i w:val="0"/>
                <w:color w:val="B8C0CC"/>
                <w:sz w:val="16"/>
              </w:rPr>
              <w:t>________________________________________________________________</w:t>
            </w:r>
          </w:p>
          <w:p>
            <w:pPr>
              <w:spacing w:after="100" w:line="240" w:lineRule="auto"/>
            </w:pPr>
            <w:r>
              <w:rPr>
                <w:rFonts w:ascii="Arial" w:hAnsi="Arial"/>
                <w:b w:val="0"/>
                <w:i w:val="0"/>
                <w:color w:val="B8C0CC"/>
                <w:sz w:val="16"/>
              </w:rPr>
              <w:t>________________________________________________________________</w:t>
            </w:r>
          </w:p>
          <w:p>
            <w:pPr>
              <w:spacing w:after="100" w:line="240" w:lineRule="auto"/>
            </w:pPr>
            <w:r>
              <w:rPr>
                <w:rFonts w:ascii="Arial" w:hAnsi="Arial"/>
                <w:b w:val="0"/>
                <w:i w:val="0"/>
                <w:color w:val="B8C0CC"/>
                <w:sz w:val="16"/>
              </w:rPr>
              <w:t>________________________________________________________________</w:t>
            </w:r>
          </w:p>
          <w:p>
            <w:pPr>
              <w:spacing w:after="100" w:line="240" w:lineRule="auto"/>
            </w:pPr>
            <w:r>
              <w:rPr>
                <w:rFonts w:ascii="Arial" w:hAnsi="Arial"/>
                <w:b w:val="0"/>
                <w:i w:val="0"/>
                <w:color w:val="B8C0CC"/>
                <w:sz w:val="16"/>
              </w:rPr>
              <w:t>________________________________________________________________</w:t>
            </w:r>
          </w:p>
        </w:tc>
        <w:tc>
          <w:tcPr>
            <w:tcW w:type="dxa" w:w="4762"/>
            <w:shd w:fill="FFFFFF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i w:val="0"/>
                <w:color w:val="3267D6"/>
                <w:sz w:val="24"/>
              </w:rPr>
              <w:t>FINANZAS</w:t>
            </w:r>
          </w:p>
          <w:p>
            <w:pPr>
              <w:spacing w:after="140"/>
            </w:pPr>
            <w:r>
              <w:rPr>
                <w:rFonts w:ascii="Arial" w:hAnsi="Arial"/>
                <w:b w:val="0"/>
                <w:i w:val="0"/>
                <w:color w:val="6B7280"/>
                <w:sz w:val="17"/>
              </w:rPr>
              <w:t>Contabilidad, ingresos, gastos, caja chica, autorizaciones, utilidad y reportes.</w:t>
            </w:r>
          </w:p>
          <w:p>
            <w:pPr>
              <w:spacing w:after="100" w:line="240" w:lineRule="auto"/>
            </w:pPr>
            <w:r>
              <w:rPr>
                <w:rFonts w:ascii="Arial" w:hAnsi="Arial"/>
                <w:b w:val="0"/>
                <w:i w:val="0"/>
                <w:color w:val="B8C0CC"/>
                <w:sz w:val="16"/>
              </w:rPr>
              <w:t>________________________________________________________________</w:t>
            </w:r>
          </w:p>
          <w:p>
            <w:pPr>
              <w:spacing w:after="100" w:line="240" w:lineRule="auto"/>
            </w:pPr>
            <w:r>
              <w:rPr>
                <w:rFonts w:ascii="Arial" w:hAnsi="Arial"/>
                <w:b w:val="0"/>
                <w:i w:val="0"/>
                <w:color w:val="B8C0CC"/>
                <w:sz w:val="16"/>
              </w:rPr>
              <w:t>________________________________________________________________</w:t>
            </w:r>
          </w:p>
          <w:p>
            <w:pPr>
              <w:spacing w:after="100" w:line="240" w:lineRule="auto"/>
            </w:pPr>
            <w:r>
              <w:rPr>
                <w:rFonts w:ascii="Arial" w:hAnsi="Arial"/>
                <w:b w:val="0"/>
                <w:i w:val="0"/>
                <w:color w:val="B8C0CC"/>
                <w:sz w:val="16"/>
              </w:rPr>
              <w:t>________________________________________________________________</w:t>
            </w:r>
          </w:p>
          <w:p>
            <w:pPr>
              <w:spacing w:after="100" w:line="240" w:lineRule="auto"/>
            </w:pPr>
            <w:r>
              <w:rPr>
                <w:rFonts w:ascii="Arial" w:hAnsi="Arial"/>
                <w:b w:val="0"/>
                <w:i w:val="0"/>
                <w:color w:val="B8C0CC"/>
                <w:sz w:val="16"/>
              </w:rPr>
              <w:t>________________________________________________________________</w:t>
            </w:r>
          </w:p>
          <w:p>
            <w:pPr>
              <w:spacing w:after="100" w:line="240" w:lineRule="auto"/>
            </w:pPr>
            <w:r>
              <w:rPr>
                <w:rFonts w:ascii="Arial" w:hAnsi="Arial"/>
                <w:b w:val="0"/>
                <w:i w:val="0"/>
                <w:color w:val="B8C0CC"/>
                <w:sz w:val="16"/>
              </w:rPr>
              <w:t>________________________________________________________________</w:t>
            </w:r>
          </w:p>
          <w:p>
            <w:pPr>
              <w:spacing w:after="100" w:line="240" w:lineRule="auto"/>
            </w:pPr>
            <w:r>
              <w:rPr>
                <w:rFonts w:ascii="Arial" w:hAnsi="Arial"/>
                <w:b w:val="0"/>
                <w:i w:val="0"/>
                <w:color w:val="B8C0CC"/>
                <w:sz w:val="16"/>
              </w:rPr>
              <w:t>________________________________________________________________</w:t>
            </w:r>
          </w:p>
          <w:p>
            <w:pPr>
              <w:spacing w:after="100" w:line="240" w:lineRule="auto"/>
            </w:pPr>
            <w:r>
              <w:rPr>
                <w:rFonts w:ascii="Arial" w:hAnsi="Arial"/>
                <w:b w:val="0"/>
                <w:i w:val="0"/>
                <w:color w:val="B8C0CC"/>
                <w:sz w:val="16"/>
              </w:rPr>
              <w:t>________________________________________________________________</w:t>
            </w:r>
          </w:p>
        </w:tc>
      </w:tr>
    </w:tbl>
    <w:p>
      <w:pPr>
        <w:widowControl/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7F3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267D6"/>
                <w:sz w:val="20"/>
              </w:rPr>
              <w:t xml:space="preserve">Síntesis del consultor.  </w:t>
            </w:r>
            <w:r>
              <w:rPr>
                <w:rFonts w:ascii="Arial" w:hAnsi="Arial"/>
                <w:b w:val="0"/>
                <w:i w:val="0"/>
                <w:color w:val="222831"/>
                <w:sz w:val="20"/>
              </w:rPr>
              <w:t>Al terminar, marque los dos pilares con mayor pérdida de control. Esos pilares orientan la recomendación inicial; no significan que deba vender todos los módulos relacionados.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7. Del mapa al diagnóstico</w:t>
      </w:r>
    </w:p>
    <w:p>
      <w:pPr>
        <w:pStyle w:val="Heading2"/>
        <w:widowControl/>
      </w:pPr>
      <w:r>
        <w:t>7.1 Preguntas de profundización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¿Cuál de estos problemas le preocupa más al dueño?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¿Qué ocurre si no se corrige durante los próximos seis meses?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¿Con qué frecuencia sucede y a cuántas personas afecta?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¿Cuánto tiempo consume resolverlo o reconstruir la información?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¿Qué han intentado antes y por qué no funcionó?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¿Qué resultado concreto le gustaría observar después de implementar una solución?</w:t>
      </w:r>
    </w:p>
    <w:p>
      <w:pPr>
        <w:pStyle w:val="Heading2"/>
        <w:widowControl/>
      </w:pPr>
      <w:r>
        <w:t>7.2 Priorización simple</w:t>
      </w:r>
    </w:p>
    <w:tbl>
      <w:tblPr>
        <w:tblStyle w:val="TableGrid"/>
        <w:tblW w:type="dxa" w:w="9466"/>
        <w:tblLayout w:type="fixed"/>
        <w:tblLook w:firstColumn="1" w:firstRow="1" w:lastColumn="0" w:lastRow="0" w:noHBand="0" w:noVBand="1" w:val="04A0"/>
        <w:tblInd w:w="120" w:type="dxa"/>
      </w:tblPr>
      <w:tblGrid>
        <w:gridCol w:w="1757"/>
        <w:gridCol w:w="4988"/>
        <w:gridCol w:w="2721"/>
      </w:tblGrid>
      <w:tr>
        <w:trPr>
          <w:tblHeader w:val="true"/>
        </w:trPr>
        <w:tc>
          <w:tcPr>
            <w:tcW w:type="dxa" w:w="1757"/>
            <w:shd w:fill="3267D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Criterio</w:t>
            </w:r>
          </w:p>
        </w:tc>
        <w:tc>
          <w:tcPr>
            <w:tcW w:type="dxa" w:w="4988"/>
            <w:shd w:fill="3267D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Pregunta</w:t>
            </w:r>
          </w:p>
        </w:tc>
        <w:tc>
          <w:tcPr>
            <w:tcW w:type="dxa" w:w="2721"/>
            <w:shd w:fill="3267D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Puntuación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Impacto</w:t>
            </w:r>
          </w:p>
        </w:tc>
        <w:tc>
          <w:tcPr>
            <w:tcW w:type="dxa" w:w="49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¿Afecta dinero, clientes, continuidad o control del dueño?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1 bajo · 2 medio · 3 alto</w:t>
            </w:r>
          </w:p>
        </w:tc>
      </w:tr>
      <w:tr>
        <w:tc>
          <w:tcPr>
            <w:tcW w:type="dxa" w:w="1757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Frecuencia</w:t>
            </w:r>
          </w:p>
        </w:tc>
        <w:tc>
          <w:tcPr>
            <w:tcW w:type="dxa" w:w="4988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¿Con qué frecuencia ocurre?</w:t>
            </w:r>
          </w:p>
        </w:tc>
        <w:tc>
          <w:tcPr>
            <w:tcW w:type="dxa" w:w="2721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1 ocasional · 2 mensual · 3 semanal/diaria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Urgencia</w:t>
            </w:r>
          </w:p>
        </w:tc>
        <w:tc>
          <w:tcPr>
            <w:tcW w:type="dxa" w:w="49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¿Existe una razón real para resolverlo ahora?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1 baja · 2 próxima · 3 inmediata</w:t>
            </w:r>
          </w:p>
        </w:tc>
      </w:tr>
      <w:tr>
        <w:tc>
          <w:tcPr>
            <w:tcW w:type="dxa" w:w="1757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Adopción</w:t>
            </w:r>
          </w:p>
        </w:tc>
        <w:tc>
          <w:tcPr>
            <w:tcW w:type="dxa" w:w="4988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¿El equipo puede implementar el cambio?</w:t>
            </w:r>
          </w:p>
        </w:tc>
        <w:tc>
          <w:tcPr>
            <w:tcW w:type="dxa" w:w="2721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1 difícil · 2 posible · 3 favorable</w:t>
            </w:r>
          </w:p>
        </w:tc>
      </w:tr>
    </w:tbl>
    <w:p>
      <w:pPr>
        <w:widowControl/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7F3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267D6"/>
                <w:sz w:val="20"/>
              </w:rPr>
              <w:t xml:space="preserve">Prioridad recomendada.  </w:t>
            </w:r>
            <w:r>
              <w:rPr>
                <w:rFonts w:ascii="Arial" w:hAnsi="Arial"/>
                <w:b w:val="0"/>
                <w:i w:val="0"/>
                <w:color w:val="222831"/>
                <w:sz w:val="20"/>
              </w:rPr>
              <w:t>Comience por el problema con mayor impacto, frecuencia y urgencia que además pueda adoptarse. No empiece por el módulo más grande.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8. Relación entre dolor y módulo</w:t>
      </w:r>
    </w:p>
    <w:tbl>
      <w:tblPr>
        <w:tblStyle w:val="TableGrid"/>
        <w:tblW w:type="dxa" w:w="9466"/>
        <w:tblLayout w:type="fixed"/>
        <w:tblLook w:firstColumn="1" w:firstRow="1" w:lastColumn="0" w:lastRow="0" w:noHBand="0" w:noVBand="1" w:val="04A0"/>
        <w:tblInd w:w="120" w:type="dxa"/>
      </w:tblPr>
      <w:tblGrid>
        <w:gridCol w:w="3061"/>
        <w:gridCol w:w="3968"/>
        <w:gridCol w:w="2437"/>
      </w:tblGrid>
      <w:tr>
        <w:trPr>
          <w:tblHeader w:val="true"/>
        </w:trPr>
        <w:tc>
          <w:tcPr>
            <w:tcW w:type="dxa" w:w="3061"/>
            <w:shd w:fill="3267D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Señal del cliente</w:t>
            </w:r>
          </w:p>
        </w:tc>
        <w:tc>
          <w:tcPr>
            <w:tcW w:type="dxa" w:w="3968"/>
            <w:shd w:fill="3267D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Problema real a confirmar</w:t>
            </w:r>
          </w:p>
        </w:tc>
        <w:tc>
          <w:tcPr>
            <w:tcW w:type="dxa" w:w="2437"/>
            <w:shd w:fill="3267D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Módulo inicial posible</w:t>
            </w:r>
          </w:p>
        </w:tc>
      </w:tr>
      <w:tr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“No sé si mi personal viene o se va cuando quiere.”</w:t>
            </w:r>
          </w:p>
        </w:tc>
        <w:tc>
          <w:tcPr>
            <w:tcW w:type="dxa" w:w="3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Falta de control de asistencia, expedientes o responsabilidades.</w:t>
            </w:r>
          </w:p>
        </w:tc>
        <w:tc>
          <w:tcPr>
            <w:tcW w:type="dxa" w:w="24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Recursos Humanos</w:t>
            </w:r>
          </w:p>
        </w:tc>
      </w:tr>
      <w:tr>
        <w:tc>
          <w:tcPr>
            <w:tcW w:type="dxa" w:w="3061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“Todo termina dependiendo de mí.”</w:t>
            </w:r>
          </w:p>
        </w:tc>
        <w:tc>
          <w:tcPr>
            <w:tcW w:type="dxa" w:w="3968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Tareas sin responsable, proceso ni seguimiento visible.</w:t>
            </w:r>
          </w:p>
        </w:tc>
        <w:tc>
          <w:tcPr>
            <w:tcW w:type="dxa" w:w="2437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Procesos y tareas</w:t>
            </w:r>
          </w:p>
        </w:tc>
      </w:tr>
      <w:tr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“Se pierde dinero en gastos pequeños.”</w:t>
            </w:r>
          </w:p>
        </w:tc>
        <w:tc>
          <w:tcPr>
            <w:tcW w:type="dxa" w:w="3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Fondos y comprobaciones sin trazabilidad.</w:t>
            </w:r>
          </w:p>
        </w:tc>
        <w:tc>
          <w:tcPr>
            <w:tcW w:type="dxa" w:w="24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Caja chica</w:t>
            </w:r>
          </w:p>
        </w:tc>
      </w:tr>
      <w:tr>
        <w:tc>
          <w:tcPr>
            <w:tcW w:type="dxa" w:w="3061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“Gastamos mucho y no sé en qué.”</w:t>
            </w:r>
          </w:p>
        </w:tc>
        <w:tc>
          <w:tcPr>
            <w:tcW w:type="dxa" w:w="3968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Egresos sin clasificación, responsables o presupuesto.</w:t>
            </w:r>
          </w:p>
        </w:tc>
        <w:tc>
          <w:tcPr>
            <w:tcW w:type="dxa" w:w="2437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Gastos</w:t>
            </w:r>
          </w:p>
        </w:tc>
      </w:tr>
      <w:tr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“Vendo, pero el inventario nunca coincide.”</w:t>
            </w:r>
          </w:p>
        </w:tc>
        <w:tc>
          <w:tcPr>
            <w:tcW w:type="dxa" w:w="3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Venta y existencias desconectadas.</w:t>
            </w:r>
          </w:p>
        </w:tc>
        <w:tc>
          <w:tcPr>
            <w:tcW w:type="dxa" w:w="24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Punto de venta + Inventarios</w:t>
            </w:r>
          </w:p>
        </w:tc>
      </w:tr>
      <w:tr>
        <w:tc>
          <w:tcPr>
            <w:tcW w:type="dxa" w:w="3061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“Se nos olvidan clientes y cotizaciones.”</w:t>
            </w:r>
          </w:p>
        </w:tc>
        <w:tc>
          <w:tcPr>
            <w:tcW w:type="dxa" w:w="3968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Pipeline sin etapas, responsables ni próximos pasos.</w:t>
            </w:r>
          </w:p>
        </w:tc>
        <w:tc>
          <w:tcPr>
            <w:tcW w:type="dxa" w:w="2437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Ventas</w:t>
            </w:r>
          </w:p>
        </w:tc>
      </w:tr>
      <w:tr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“No sé qué tengo disponible.”</w:t>
            </w:r>
          </w:p>
        </w:tc>
        <w:tc>
          <w:tcPr>
            <w:tcW w:type="dxa" w:w="3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Entradas, salidas y ajustes sin control.</w:t>
            </w:r>
          </w:p>
        </w:tc>
        <w:tc>
          <w:tcPr>
            <w:tcW w:type="dxa" w:w="24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Inventarios</w:t>
            </w:r>
          </w:p>
        </w:tc>
      </w:tr>
      <w:tr>
        <w:tc>
          <w:tcPr>
            <w:tcW w:type="dxa" w:w="3061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“Tengo información, pero no puedo decidir.”</w:t>
            </w:r>
          </w:p>
        </w:tc>
        <w:tc>
          <w:tcPr>
            <w:tcW w:type="dxa" w:w="3968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Registros dispersos sin lectura ejecutiva.</w:t>
            </w:r>
          </w:p>
        </w:tc>
        <w:tc>
          <w:tcPr>
            <w:tcW w:type="dxa" w:w="2437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KPIs, después de ordenar fuentes</w:t>
            </w:r>
          </w:p>
        </w:tc>
      </w:tr>
      <w:tr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“Siento que me roban.”</w:t>
            </w:r>
          </w:p>
        </w:tc>
        <w:tc>
          <w:tcPr>
            <w:tcW w:type="dxa" w:w="3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Debe verificarse dónde ocurre la fuga: efectivo, inventario, nómina o gasto.</w:t>
            </w:r>
          </w:p>
        </w:tc>
        <w:tc>
          <w:tcPr>
            <w:tcW w:type="dxa" w:w="24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No asumir: diagnosticar Caja chica, Inventarios, RR. HH. o Gastos</w:t>
            </w:r>
          </w:p>
        </w:tc>
      </w:tr>
    </w:tbl>
    <w:p>
      <w:pPr>
        <w:widowControl/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3F6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6B5E"/>
                <w:sz w:val="20"/>
              </w:rPr>
              <w:t xml:space="preserve">Advertencia.  </w:t>
            </w:r>
            <w:r>
              <w:rPr>
                <w:rFonts w:ascii="Arial" w:hAnsi="Arial"/>
                <w:b w:val="0"/>
                <w:i w:val="0"/>
                <w:color w:val="222831"/>
                <w:sz w:val="20"/>
              </w:rPr>
              <w:t>Una frase no basta para recomendar un módulo. Confirme el flujo, el responsable, la evidencia y la consecuencia antes de presentar la solución.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9. Presentación de la recomendación</w:t>
      </w:r>
    </w:p>
    <w:p>
      <w:pPr>
        <w:widowControl/>
      </w:pPr>
      <w:r>
        <w:rPr>
          <w:rFonts w:ascii="Arial" w:hAnsi="Arial"/>
          <w:b w:val="0"/>
          <w:i w:val="0"/>
          <w:color w:val="222831"/>
          <w:sz w:val="20"/>
        </w:rPr>
        <w:t>La recomendación debe sonar como una conclusión del diagnóstico, no como un catálogo. Utilice las palabras del cliente y conecte cada capacidad con un problema confirmado.</w:t>
      </w:r>
    </w:p>
    <w:p>
      <w:pPr>
        <w:pStyle w:val="Heading2"/>
        <w:widowControl/>
      </w:pPr>
      <w:r>
        <w:t>9.1 Fórmula de recomendación</w:t>
      </w:r>
    </w:p>
    <w:tbl>
      <w:tblPr>
        <w:tblStyle w:val="TableGrid"/>
        <w:tblW w:type="dxa" w:w="9467"/>
        <w:tblLayout w:type="fixed"/>
        <w:tblLook w:firstColumn="1" w:firstRow="1" w:lastColumn="0" w:lastRow="0" w:noHBand="0" w:noVBand="1" w:val="04A0"/>
        <w:tblInd w:w="120" w:type="dxa"/>
      </w:tblPr>
      <w:tblGrid>
        <w:gridCol w:w="2154"/>
        <w:gridCol w:w="7313"/>
      </w:tblGrid>
      <w:tr>
        <w:trPr>
          <w:tblHeader w:val="true"/>
        </w:trPr>
        <w:tc>
          <w:tcPr>
            <w:tcW w:type="dxa" w:w="2154"/>
            <w:shd w:fill="3267D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Paso</w:t>
            </w:r>
          </w:p>
        </w:tc>
        <w:tc>
          <w:tcPr>
            <w:tcW w:type="dxa" w:w="7313"/>
            <w:shd w:fill="3267D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Estructura sugerida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1. Confirmar</w:t>
            </w:r>
          </w:p>
        </w:tc>
        <w:tc>
          <w:tcPr>
            <w:tcW w:type="dxa" w:w="731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“Lo que entendimos es que hoy…”</w:t>
            </w:r>
          </w:p>
        </w:tc>
      </w:tr>
      <w:tr>
        <w:tc>
          <w:tcPr>
            <w:tcW w:type="dxa" w:w="2154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2. Consecuencia</w:t>
            </w:r>
          </w:p>
        </w:tc>
        <w:tc>
          <w:tcPr>
            <w:tcW w:type="dxa" w:w="7313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“Esto provoca que…”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3. Prioridad</w:t>
            </w:r>
          </w:p>
        </w:tc>
        <w:tc>
          <w:tcPr>
            <w:tcW w:type="dxa" w:w="731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“El primer punto que conviene corregir es…”</w:t>
            </w:r>
          </w:p>
        </w:tc>
      </w:tr>
      <w:tr>
        <w:tc>
          <w:tcPr>
            <w:tcW w:type="dxa" w:w="2154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4. Solución</w:t>
            </w:r>
          </w:p>
        </w:tc>
        <w:tc>
          <w:tcPr>
            <w:tcW w:type="dxa" w:w="7313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“Por eso recomendamos comenzar con…”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5. Resultado</w:t>
            </w:r>
          </w:p>
        </w:tc>
        <w:tc>
          <w:tcPr>
            <w:tcW w:type="dxa" w:w="731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“Esto le permitirá ver/controlar…”</w:t>
            </w:r>
          </w:p>
        </w:tc>
      </w:tr>
      <w:tr>
        <w:tc>
          <w:tcPr>
            <w:tcW w:type="dxa" w:w="2154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6. Adopción</w:t>
            </w:r>
          </w:p>
        </w:tc>
        <w:tc>
          <w:tcPr>
            <w:tcW w:type="dxa" w:w="7313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“Después, cuando el equipo domine esta base, podremos agregar…”</w:t>
            </w:r>
          </w:p>
        </w:tc>
      </w:tr>
    </w:tbl>
    <w:p>
      <w:pPr>
        <w:widowControl/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7F3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267D6"/>
                <w:sz w:val="20"/>
              </w:rPr>
              <w:t xml:space="preserve">Ejemplo.  </w:t>
            </w:r>
            <w:r>
              <w:rPr>
                <w:rFonts w:ascii="Arial" w:hAnsi="Arial"/>
                <w:b w:val="0"/>
                <w:i w:val="0"/>
                <w:color w:val="222831"/>
                <w:sz w:val="20"/>
              </w:rPr>
              <w:t>“Hoy los gastos menores se entregan en efectivo y se comprueban por mensajes. Eso impide conocer el saldo real y quién tiene cada fondo. Recomendamos comenzar con Caja chica para registrar entregas, consumos, evidencias y rendiciones antes de ampliar a otros módulos.”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10. Precio y negociación</w:t>
      </w:r>
    </w:p>
    <w:p>
      <w:pPr>
        <w:widowControl/>
      </w:pPr>
      <w:r>
        <w:rPr>
          <w:rFonts w:ascii="Arial" w:hAnsi="Arial"/>
          <w:b w:val="0"/>
          <w:i w:val="0"/>
          <w:color w:val="222831"/>
          <w:sz w:val="20"/>
        </w:rPr>
        <w:t>La pregunta “¿cuánto cuesta?” es una señal de interés, pero no significa que el cliente ya entendió el valor. Antes de responder, confirme qué problema desea resolver y qué configuración necesita.</w:t>
      </w:r>
    </w:p>
    <w:p>
      <w:pPr>
        <w:pStyle w:val="Heading2"/>
        <w:widowControl/>
      </w:pPr>
      <w:r>
        <w:t>10.1 Orden correcto de negociación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Reafirmar el problema y el resultado esperado.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Presentar la configuración y el precio vigente con claridad.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Resolver dudas sobre adopción, acompañamiento y alcance.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Si existe resistencia, identificar si es precio, confianza, urgencia o flujo de efectivo.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Agregar valor autorizado antes de reducir precio.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Utilizar únicamente promociones comunicadas oficialmente por Índice.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Documentar cualquier condición especial y su vigencia.</w:t>
      </w:r>
    </w:p>
    <w:tbl>
      <w:tblPr>
        <w:tblStyle w:val="TableGrid"/>
        <w:tblW w:type="dxa" w:w="9467"/>
        <w:tblLayout w:type="fixed"/>
        <w:tblLook w:firstColumn="1" w:firstRow="1" w:lastColumn="0" w:lastRow="0" w:noHBand="0" w:noVBand="1" w:val="04A0"/>
        <w:tblInd w:w="120" w:type="dxa"/>
      </w:tblPr>
      <w:tblGrid>
        <w:gridCol w:w="2381"/>
        <w:gridCol w:w="7086"/>
      </w:tblGrid>
      <w:tr>
        <w:trPr>
          <w:tblHeader w:val="true"/>
        </w:trPr>
        <w:tc>
          <w:tcPr>
            <w:tcW w:type="dxa" w:w="2381"/>
            <w:shd w:fill="3267D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Objeción</w:t>
            </w:r>
          </w:p>
        </w:tc>
        <w:tc>
          <w:tcPr>
            <w:tcW w:type="dxa" w:w="7086"/>
            <w:shd w:fill="3267D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Respuesta consultiva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“Está caro.”</w:t>
            </w:r>
          </w:p>
        </w:tc>
        <w:tc>
          <w:tcPr>
            <w:tcW w:type="dxa" w:w="70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“¿Contra qué lo está comparando: presupuesto disponible o valor percibido? Revisemos qué problema elimina y cuál sería el costo de mantenerlo.”</w:t>
            </w:r>
          </w:p>
        </w:tc>
      </w:tr>
      <w:tr>
        <w:tc>
          <w:tcPr>
            <w:tcW w:type="dxa" w:w="2381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“Déjeme pensarlo.”</w:t>
            </w:r>
          </w:p>
        </w:tc>
        <w:tc>
          <w:tcPr>
            <w:tcW w:type="dxa" w:w="7086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“Claro. ¿Qué parte necesita evaluar: prioridad, precio, funciones o implementación? Definamos la información que le falta.”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“Hágame descuento.”</w:t>
            </w:r>
          </w:p>
        </w:tc>
        <w:tc>
          <w:tcPr>
            <w:tcW w:type="dxa" w:w="70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“Antes de reducir el precio, revisemos qué valor adicional autorizado puede facilitar la decisión sin debilitar la solución.”</w:t>
            </w:r>
          </w:p>
        </w:tc>
      </w:tr>
      <w:tr>
        <w:tc>
          <w:tcPr>
            <w:tcW w:type="dxa" w:w="2381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“Quiero todos los módulos.”</w:t>
            </w:r>
          </w:p>
        </w:tc>
        <w:tc>
          <w:tcPr>
            <w:tcW w:type="dxa" w:w="7086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“Podemos crecer hacia eso, pero conviene comenzar por la prioridad para asegurar adopción y resultados.”</w:t>
            </w:r>
          </w:p>
        </w:tc>
      </w:tr>
    </w:tbl>
    <w:p>
      <w:pPr>
        <w:widowControl/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3F6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6B5E"/>
                <w:sz w:val="20"/>
              </w:rPr>
              <w:t xml:space="preserve">Política comercial.  </w:t>
            </w:r>
            <w:r>
              <w:rPr>
                <w:rFonts w:ascii="Arial" w:hAnsi="Arial"/>
                <w:b w:val="0"/>
                <w:i w:val="0"/>
                <w:color w:val="222831"/>
                <w:sz w:val="20"/>
              </w:rPr>
              <w:t>Las promociones y beneficios disponibles deben mantenerse en una tabla separada y actualizada por Índice. El consultor no debe inventar descuentos, regalar módulos ni comprometer condiciones sin autorización.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11. Cierre de la sesión</w:t>
      </w:r>
    </w:p>
    <w:p>
      <w:pPr>
        <w:widowControl/>
      </w:pPr>
      <w:r>
        <w:rPr>
          <w:rFonts w:ascii="Arial" w:hAnsi="Arial"/>
          <w:b w:val="0"/>
          <w:i w:val="0"/>
          <w:color w:val="222831"/>
          <w:sz w:val="20"/>
        </w:rPr>
        <w:t>Una buena sesión no termina con “le envío información”. Termina con una decisión o un siguiente paso concreto.</w:t>
      </w:r>
    </w:p>
    <w:p>
      <w:pPr>
        <w:pStyle w:val="Heading2"/>
        <w:widowControl/>
      </w:pPr>
      <w:r>
        <w:t>11.1 Resumen final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Repetir los dos o tres problemas principales.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Confirmar cuál es la prioridad elegida por el cliente.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Presentar la configuración inicial recomendada.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Aclarar precio, alcance y condiciones vigentes.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Definir siguiente acción, responsable y fecha.</w:t>
      </w:r>
    </w:p>
    <w:p>
      <w:pPr>
        <w:pStyle w:val="Heading2"/>
        <w:widowControl/>
      </w:pPr>
      <w:r>
        <w:t>11.2 Cierres posibles</w:t>
      </w:r>
    </w:p>
    <w:tbl>
      <w:tblPr>
        <w:tblStyle w:val="TableGrid"/>
        <w:tblW w:type="dxa" w:w="9467"/>
        <w:tblLayout w:type="fixed"/>
        <w:tblLook w:firstColumn="1" w:firstRow="1" w:lastColumn="0" w:lastRow="0" w:noHBand="0" w:noVBand="1" w:val="04A0"/>
        <w:tblInd w:w="120" w:type="dxa"/>
      </w:tblPr>
      <w:tblGrid>
        <w:gridCol w:w="2891"/>
        <w:gridCol w:w="6576"/>
      </w:tblGrid>
      <w:tr>
        <w:trPr>
          <w:tblHeader w:val="true"/>
        </w:trPr>
        <w:tc>
          <w:tcPr>
            <w:tcW w:type="dxa" w:w="2891"/>
            <w:shd w:fill="3267D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Situación</w:t>
            </w:r>
          </w:p>
        </w:tc>
        <w:tc>
          <w:tcPr>
            <w:tcW w:type="dxa" w:w="6576"/>
            <w:shd w:fill="3267D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Siguiente paso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Listo para avanzar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Crear cuenta, formalizar configuración o iniciar contratación.</w:t>
            </w:r>
          </w:p>
        </w:tc>
      </w:tr>
      <w:tr>
        <w:tc>
          <w:tcPr>
            <w:tcW w:type="dxa" w:w="2891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Necesita validar internamente</w:t>
            </w:r>
          </w:p>
        </w:tc>
        <w:tc>
          <w:tcPr>
            <w:tcW w:type="dxa" w:w="6576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Agendar reunión con los demás decisores y enviar resumen ejecutivo.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Necesita comprobar el producto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Programar demostración enfocada únicamente en el problema diagnosticado.</w:t>
            </w:r>
          </w:p>
        </w:tc>
      </w:tr>
      <w:tr>
        <w:tc>
          <w:tcPr>
            <w:tcW w:type="dxa" w:w="2891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Necesita propuesta</w:t>
            </w:r>
          </w:p>
        </w:tc>
        <w:tc>
          <w:tcPr>
            <w:tcW w:type="dxa" w:w="6576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Enviar propuesta con vigencia y agendar revisión; no dejarla sin fecha.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No existe urgencia real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Registrar seguimiento futuro con motivo y fecha, sin perseguir indefinidamente.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12. Seguimiento posterior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Enviar el mismo día o dentro de las siguientes 24 horas.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Resumir problemas, prioridades y recomendación; no enviar un catálogo genérico.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Adjuntar propuesta o material acordado.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Registrar objeciones, decisores, presupuesto y fecha estimada de decisión.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Confirmar por escrito la siguiente reunión.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Si no responde, realizar seguimientos breves con valor nuevo, no mensajes repetitivos de “solo dando seguimiento”.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7F3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267D6"/>
                <w:sz w:val="20"/>
              </w:rPr>
              <w:t xml:space="preserve">Estructura del mensaje.  </w:t>
            </w:r>
            <w:r>
              <w:rPr>
                <w:rFonts w:ascii="Arial" w:hAnsi="Arial"/>
                <w:b w:val="0"/>
                <w:i w:val="0"/>
                <w:color w:val="222831"/>
                <w:sz w:val="20"/>
              </w:rPr>
              <w:t>Agradecimiento → tres hallazgos → recomendación inicial → condición comercial vigente → siguiente paso con fecha.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13. Lista de control del consultor</w:t>
      </w:r>
    </w:p>
    <w:tbl>
      <w:tblPr>
        <w:tblStyle w:val="TableGrid"/>
        <w:tblW w:type="dxa" w:w="9438"/>
        <w:tblLayout w:type="fixed"/>
        <w:tblLook w:firstColumn="1" w:firstRow="1" w:lastColumn="0" w:lastRow="0" w:noHBand="0" w:noVBand="1" w:val="04A0"/>
        <w:tblInd w:w="120" w:type="dxa"/>
      </w:tblPr>
      <w:tblGrid>
        <w:gridCol w:w="3146"/>
        <w:gridCol w:w="3146"/>
        <w:gridCol w:w="3146"/>
      </w:tblGrid>
      <w:tr>
        <w:trPr>
          <w:tblHeader w:val="true"/>
        </w:trPr>
        <w:tc>
          <w:tcPr>
            <w:tcW w:type="dxa" w:w="3146"/>
            <w:shd w:fill="3267D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Antes</w:t>
            </w:r>
          </w:p>
        </w:tc>
        <w:tc>
          <w:tcPr>
            <w:tcW w:type="dxa" w:w="3146"/>
            <w:shd w:fill="3267D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Durante</w:t>
            </w:r>
          </w:p>
        </w:tc>
        <w:tc>
          <w:tcPr>
            <w:tcW w:type="dxa" w:w="3146"/>
            <w:shd w:fill="3267D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Después</w:t>
            </w:r>
          </w:p>
        </w:tc>
      </w:tr>
      <w:tr>
        <w:tc>
          <w:tcPr>
            <w:tcW w:type="dxa" w:w="31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□ Decisor confirmado</w:t>
              <w:br/>
              <w:t>□ Investigación básica</w:t>
              <w:br/>
              <w:t>□ Mapa preparado</w:t>
              <w:br/>
              <w:t>□ Promociones verificadas</w:t>
            </w:r>
          </w:p>
        </w:tc>
        <w:tc>
          <w:tcPr>
            <w:tcW w:type="dxa" w:w="31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□ Confianza y propósito</w:t>
              <w:br/>
              <w:t>□ Mapa completado</w:t>
              <w:br/>
              <w:t>□ Dolor cuantificado</w:t>
              <w:br/>
              <w:t>□ Cliente confirma prioridad</w:t>
            </w:r>
          </w:p>
        </w:tc>
        <w:tc>
          <w:tcPr>
            <w:tcW w:type="dxa" w:w="31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□ Recomendación documentada</w:t>
              <w:br/>
              <w:t>□ Precio autorizado</w:t>
              <w:br/>
              <w:t>□ Próximo paso con fecha</w:t>
              <w:br/>
              <w:t>□ Seguimiento enviado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14. Evaluación de calidad de la sesión</w:t>
      </w:r>
    </w:p>
    <w:tbl>
      <w:tblPr>
        <w:tblStyle w:val="TableGrid"/>
        <w:tblW w:type="dxa" w:w="9467"/>
        <w:tblLayout w:type="fixed"/>
        <w:tblLook w:firstColumn="1" w:firstRow="1" w:lastColumn="0" w:lastRow="0" w:noHBand="0" w:noVBand="1" w:val="04A0"/>
        <w:tblInd w:w="120" w:type="dxa"/>
      </w:tblPr>
      <w:tblGrid>
        <w:gridCol w:w="8220"/>
        <w:gridCol w:w="1247"/>
      </w:tblGrid>
      <w:tr>
        <w:trPr>
          <w:tblHeader w:val="true"/>
        </w:trPr>
        <w:tc>
          <w:tcPr>
            <w:tcW w:type="dxa" w:w="8220"/>
            <w:shd w:fill="3267D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Pregunta de control</w:t>
            </w:r>
          </w:p>
        </w:tc>
        <w:tc>
          <w:tcPr>
            <w:tcW w:type="dxa" w:w="1247"/>
            <w:shd w:fill="3267D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Sí / No</w:t>
            </w:r>
          </w:p>
        </w:tc>
      </w:tr>
      <w:tr>
        <w:tc>
          <w:tcPr>
            <w:tcW w:type="dxa" w:w="82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¿El cliente habló más que el consultor durante el diagnóstico?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</w:r>
          </w:p>
        </w:tc>
      </w:tr>
      <w:tr>
        <w:tc>
          <w:tcPr>
            <w:tcW w:type="dxa" w:w="8220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¿Se completaron los cuatro pilares a nivel general?</w:t>
            </w:r>
          </w:p>
        </w:tc>
        <w:tc>
          <w:tcPr>
            <w:tcW w:type="dxa" w:w="1247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</w:r>
          </w:p>
        </w:tc>
      </w:tr>
      <w:tr>
        <w:tc>
          <w:tcPr>
            <w:tcW w:type="dxa" w:w="82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¿El cliente confirmó con sus propias palabras el problema prioritario?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</w:r>
          </w:p>
        </w:tc>
      </w:tr>
      <w:tr>
        <w:tc>
          <w:tcPr>
            <w:tcW w:type="dxa" w:w="8220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¿La recomendación se limitó a lo necesario?</w:t>
            </w:r>
          </w:p>
        </w:tc>
        <w:tc>
          <w:tcPr>
            <w:tcW w:type="dxa" w:w="1247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</w:r>
          </w:p>
        </w:tc>
      </w:tr>
      <w:tr>
        <w:tc>
          <w:tcPr>
            <w:tcW w:type="dxa" w:w="82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¿Se protegió el precio y solo se ofreció valor autorizado?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</w:r>
          </w:p>
        </w:tc>
      </w:tr>
      <w:tr>
        <w:tc>
          <w:tcPr>
            <w:tcW w:type="dxa" w:w="8220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¿Existe una siguiente acción con responsable y fecha?</w:t>
            </w:r>
          </w:p>
        </w:tc>
        <w:tc>
          <w:tcPr>
            <w:tcW w:type="dxa" w:w="1247"/>
            <w:shd w:fill="F3F6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</w:r>
          </w:p>
        </w:tc>
      </w:tr>
    </w:tbl>
    <w:p>
      <w:pPr>
        <w:widowControl/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7F3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267D6"/>
                <w:sz w:val="20"/>
              </w:rPr>
              <w:t xml:space="preserve">Criterio de éxito.  </w:t>
            </w:r>
            <w:r>
              <w:rPr>
                <w:rFonts w:ascii="Arial" w:hAnsi="Arial"/>
                <w:b w:val="0"/>
                <w:i w:val="0"/>
                <w:color w:val="222831"/>
                <w:sz w:val="20"/>
              </w:rPr>
              <w:t>La sesión fue útil si el cliente entiende mejor su empresa al terminar, aunque todavía no compre. La venta se fortalece cuando el diagnóstico genera claridad real.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Fuentes y alcance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Metodología interna de Índice: Personas, Procesos, Productos y Finanzas.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Descripción técnica de módulos básicos de Índice, versión 1.0.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Proceso comercial explicado por la dirección de Índice para distribuidores y vendedores.</w:t>
      </w:r>
    </w:p>
    <w:p>
      <w:pPr>
        <w:pStyle w:val="ListBullet"/>
        <w:widowControl/>
      </w:pPr>
      <w:r>
        <w:rPr>
          <w:rFonts w:ascii="Arial" w:hAnsi="Arial"/>
          <w:b w:val="0"/>
          <w:i w:val="0"/>
          <w:color w:val="222831"/>
          <w:sz w:val="20"/>
        </w:rPr>
        <w:t>Las promociones, precios y beneficios deben consultarse en la comunicación comercial vigente.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20" w:left="119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6"/>
      </w:rPr>
      <w:t>Uso interno para vendedores, distribuidores y consultores  ·  indiceapp.com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3267D6"/>
        <w:sz w:val="16"/>
      </w:rPr>
      <w:t>ÍNDICE  |  GUÍA DE CONSULTORÍA COMERCIAL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/>
      <w:color w:val="22283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3267D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3267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2283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22283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369" w:hanging="159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397" w:hanging="170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consultoría comercial Índice</dc:title>
  <dc:subject>Proceso de diagnóstico, recomendación y cierre</dc:subject>
  <dc:creator>Índice Technologies Inc.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