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20" w:after="160"/>
        <w:jc w:val="center"/>
      </w:pPr>
      <w:r>
        <w:rPr>
          <w:rFonts w:ascii="Arial" w:hAnsi="Arial"/>
          <w:b/>
          <w:i w:val="0"/>
          <w:color w:val="2563EB"/>
          <w:sz w:val="30"/>
        </w:rPr>
        <w:t>ÍNDICE</w:t>
      </w:r>
    </w:p>
    <w:p>
      <w:pPr>
        <w:spacing w:after="240"/>
        <w:jc w:val="center"/>
      </w:pPr>
      <w:r>
        <w:rPr>
          <w:rFonts w:ascii="Arial" w:hAnsi="Arial"/>
          <w:b/>
          <w:i w:val="0"/>
          <w:color w:val="FF6B5E"/>
          <w:sz w:val="18"/>
        </w:rPr>
        <w:t>PROGRAMA DE DISTRIBUIDORES-CONSULTORES</w:t>
      </w:r>
    </w:p>
    <w:p>
      <w:pPr>
        <w:spacing w:after="160"/>
        <w:jc w:val="center"/>
      </w:pPr>
      <w:r>
        <w:rPr>
          <w:rFonts w:ascii="Arial" w:hAnsi="Arial"/>
          <w:b/>
          <w:i w:val="0"/>
          <w:color w:val="2563EB"/>
          <w:sz w:val="56"/>
        </w:rPr>
        <w:t>Tu cartera puede crecer</w:t>
        <w:br/>
        <w:t>mes a mes</w:t>
      </w:r>
    </w:p>
    <w:p>
      <w:pPr>
        <w:spacing w:after="480"/>
        <w:jc w:val="center"/>
      </w:pPr>
      <w:r>
        <w:rPr>
          <w:rFonts w:ascii="Arial" w:hAnsi="Arial"/>
          <w:b w:val="0"/>
          <w:i/>
          <w:color w:val="6B7280"/>
          <w:sz w:val="24"/>
        </w:rPr>
        <w:t>Tres rutas de ingreso en pesos mexicanos para visualizar el valor de vender y acompañar clientes de Índice durante un año.</w:t>
      </w:r>
    </w:p>
    <w:tbl>
      <w:tblPr>
        <w:tblW w:type="dxa" w:w="97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3233"/>
        <w:gridCol w:w="3233"/>
        <w:gridCol w:w="3234"/>
      </w:tblGrid>
      <w:tr>
        <w:trPr>
          <w:cantSplit/>
        </w:trPr>
        <w:tc>
          <w:tcPr>
            <w:tcW w:type="dxa" w:w="3233"/>
            <w:shd w:fill="FF6B5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2"/>
              </w:rPr>
              <w:t>$10,000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META INICIAL</w:t>
            </w:r>
          </w:p>
        </w:tc>
        <w:tc>
          <w:tcPr>
            <w:tcW w:type="dxa" w:w="3233"/>
            <w:shd w:fill="59C3A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2"/>
              </w:rPr>
              <w:t>$20,000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META CRECIMIENTO</w:t>
            </w:r>
          </w:p>
        </w:tc>
        <w:tc>
          <w:tcPr>
            <w:tcW w:type="dxa" w:w="3234"/>
            <w:shd w:fill="2563E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2"/>
              </w:rPr>
              <w:t>$30,000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META EXPANSIÓN</w:t>
            </w:r>
          </w:p>
        </w:tc>
      </w:tr>
    </w:tbl>
    <w:p>
      <w:pPr>
        <w:spacing w:after="0"/>
      </w:pPr>
    </w:p>
    <w:p>
      <w:pPr>
        <w:spacing w:before="520"/>
        <w:jc w:val="center"/>
      </w:pPr>
      <w:r>
        <w:rPr>
          <w:rFonts w:ascii="Arial" w:hAnsi="Arial"/>
          <w:b w:val="0"/>
          <w:i w:val="0"/>
          <w:color w:val="6B7280"/>
          <w:sz w:val="18"/>
        </w:rPr>
        <w:t>Proyección ilustrativa · Año 1 · Pesos mexicanos</w:t>
      </w:r>
    </w:p>
    <w:p>
      <w:r>
        <w:br w:type="page"/>
      </w:r>
    </w:p>
    <w:tbl>
      <w:tblPr>
        <w:tblW w:type="dxa" w:w="97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700"/>
      </w:tblGrid>
      <w:tr>
        <w:trPr>
          <w:cantSplit/>
        </w:trPr>
        <w:tc>
          <w:tcPr>
            <w:tcW w:type="dxa" w:w="9700"/>
            <w:shd w:fill="FFF9E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6B5E"/>
                <w:sz w:val="19"/>
              </w:rPr>
              <w:t xml:space="preserve">LA IDEA CENTRAL  </w:t>
            </w:r>
            <w:r>
              <w:rPr>
                <w:rFonts w:ascii="Arial" w:hAnsi="Arial"/>
                <w:b w:val="0"/>
                <w:i w:val="0"/>
                <w:color w:val="233043"/>
                <w:sz w:val="19"/>
              </w:rPr>
              <w:t>No se trata de cerrar una venta grande una sola vez. El crecimiento aparece cuando cada mes incorporas nueva facturación y conservas bien a los clientes que ya atendiste.</w:t>
            </w:r>
          </w:p>
        </w:tc>
      </w:tr>
    </w:tbl>
    <w:p>
      <w:pPr>
        <w:spacing w:after="0"/>
      </w:pPr>
    </w:p>
    <w:p>
      <w:pPr>
        <w:pStyle w:val="Heading1"/>
      </w:pPr>
      <w:r>
        <w:t>1. Cómo leer esta proyección</w:t>
      </w:r>
    </w:p>
    <w:p>
      <w:r>
        <w:rPr>
          <w:rFonts w:ascii="Arial" w:hAnsi="Arial"/>
          <w:b w:val="0"/>
          <w:i w:val="0"/>
          <w:color w:val="233043"/>
          <w:sz w:val="20"/>
        </w:rPr>
        <w:t>Los tres escenarios suponen que el consultor incorpora cada mes una nueva cuenta —o un grupo de cuentas— cuya facturación mensual neta de impuestos suma $10,000, $20,000 o $30,000 MXN.</w:t>
      </w:r>
    </w:p>
    <w:p>
      <w:pPr>
        <w:pStyle w:val="ListBullet"/>
        <w:spacing w:after="60"/>
        <w:ind w:left="432" w:hanging="259"/>
      </w:pPr>
      <w:r>
        <w:rPr>
          <w:rFonts w:ascii="Arial" w:hAnsi="Arial"/>
          <w:b w:val="0"/>
          <w:i w:val="0"/>
          <w:color w:val="233043"/>
          <w:sz w:val="20"/>
        </w:rPr>
        <w:t>Comisión inicial: 100% de la primera factura neta de impuestos.</w:t>
      </w:r>
    </w:p>
    <w:p>
      <w:pPr>
        <w:pStyle w:val="ListBullet"/>
        <w:spacing w:after="60"/>
        <w:ind w:left="432" w:hanging="259"/>
      </w:pPr>
      <w:r>
        <w:rPr>
          <w:rFonts w:ascii="Arial" w:hAnsi="Arial"/>
          <w:b w:val="0"/>
          <w:i w:val="0"/>
          <w:color w:val="233043"/>
          <w:sz w:val="20"/>
        </w:rPr>
        <w:t>Comisión recurrente: 30% de las facturas mensuales posteriores mientras el cliente permanezca activo y sea atendido.</w:t>
      </w:r>
    </w:p>
    <w:p>
      <w:pPr>
        <w:pStyle w:val="ListBullet"/>
        <w:spacing w:after="60"/>
        <w:ind w:left="432" w:hanging="259"/>
      </w:pPr>
      <w:r>
        <w:rPr>
          <w:rFonts w:ascii="Arial" w:hAnsi="Arial"/>
          <w:b w:val="0"/>
          <w:i w:val="0"/>
          <w:color w:val="233043"/>
          <w:sz w:val="20"/>
        </w:rPr>
        <w:t>Ritmo comercial: cada mes se agrega el mismo monto de nueva facturación mensual.</w:t>
      </w:r>
    </w:p>
    <w:p>
      <w:pPr>
        <w:pStyle w:val="ListBullet"/>
        <w:spacing w:after="60"/>
        <w:ind w:left="432" w:hanging="259"/>
      </w:pPr>
      <w:r>
        <w:rPr>
          <w:rFonts w:ascii="Arial" w:hAnsi="Arial"/>
          <w:b w:val="0"/>
          <w:i w:val="0"/>
          <w:color w:val="233043"/>
          <w:sz w:val="20"/>
        </w:rPr>
        <w:t>Retención asumida: 100% durante el año. Cancelaciones, impagos, reembolsos o descuentos reducirían el resultado.</w:t>
      </w:r>
    </w:p>
    <w:p>
      <w:pPr>
        <w:pStyle w:val="ListBullet"/>
        <w:spacing w:after="60"/>
        <w:ind w:left="432" w:hanging="259"/>
      </w:pPr>
      <w:r>
        <w:rPr>
          <w:rFonts w:ascii="Arial" w:hAnsi="Arial"/>
          <w:b w:val="0"/>
          <w:i w:val="0"/>
          <w:color w:val="233043"/>
          <w:sz w:val="20"/>
        </w:rPr>
        <w:t>Carga de acompañamiento: 4 horas mensuales por nueva cuenta durante sus primeros 3 meses y 2 horas mensuales después.</w:t>
      </w:r>
    </w:p>
    <w:p>
      <w:pPr>
        <w:pStyle w:val="ListBullet"/>
        <w:spacing w:after="60"/>
        <w:ind w:left="432" w:hanging="259"/>
      </w:pPr>
      <w:r>
        <w:rPr>
          <w:rFonts w:ascii="Arial" w:hAnsi="Arial"/>
          <w:b w:val="0"/>
          <w:i w:val="0"/>
          <w:color w:val="233043"/>
          <w:sz w:val="20"/>
        </w:rPr>
        <w:t>Para calcular horas se usa una cuenta nueva por mes. Si la meta se divide entre varias cuentas, las horas aumentan.</w:t>
      </w:r>
    </w:p>
    <w:tbl>
      <w:tblPr>
        <w:tblW w:type="dxa" w:w="97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700"/>
      </w:tblGrid>
      <w:tr>
        <w:trPr>
          <w:cantSplit/>
        </w:trPr>
        <w:tc>
          <w:tcPr>
            <w:tcW w:type="dxa" w:w="9700"/>
            <w:shd w:fill="FFF0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6B5E"/>
                <w:sz w:val="19"/>
              </w:rPr>
              <w:t xml:space="preserve">IMPORTANTE  </w:t>
            </w:r>
            <w:r>
              <w:rPr>
                <w:rFonts w:ascii="Arial" w:hAnsi="Arial"/>
                <w:b w:val="0"/>
                <w:i w:val="0"/>
                <w:color w:val="233043"/>
                <w:sz w:val="19"/>
              </w:rPr>
              <w:t>Las cantidades son comisiones brutas antes de impuestos personales, gastos, publicidad y costos de operación. Son una simulación educativa, no una garantía de ingresos.</w:t>
            </w:r>
          </w:p>
        </w:tc>
      </w:tr>
    </w:tbl>
    <w:p>
      <w:pPr>
        <w:spacing w:after="0"/>
      </w:pPr>
    </w:p>
    <w:p>
      <w:pPr>
        <w:pStyle w:val="Heading1"/>
      </w:pPr>
      <w:r>
        <w:t>2. Evolución mensual de la comisión</w:t>
      </w:r>
    </w:p>
    <w:p>
      <w:r>
        <w:rPr>
          <w:rFonts w:ascii="Arial" w:hAnsi="Arial"/>
          <w:b w:val="0"/>
          <w:i w:val="0"/>
          <w:color w:val="233043"/>
          <w:sz w:val="20"/>
        </w:rPr>
        <w:t>Cada nueva venta aporta su primera factura completa. Las cuentas de meses anteriores aportan 30%. Por eso la comisión mensual crece aunque la meta de venta nueva se mantenga igual.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800"/>
        <w:gridCol w:w="1350"/>
        <w:gridCol w:w="1250"/>
        <w:gridCol w:w="2100"/>
        <w:gridCol w:w="2100"/>
        <w:gridCol w:w="2100"/>
      </w:tblGrid>
      <w:tr>
        <w:trPr>
          <w:tblHeader w:val="true"/>
          <w:cantSplit/>
        </w:trPr>
        <w:tc>
          <w:tcPr>
            <w:tcW w:type="dxa" w:w="800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Mes</w:t>
            </w:r>
          </w:p>
        </w:tc>
        <w:tc>
          <w:tcPr>
            <w:tcW w:type="dxa" w:w="1350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Cuentas activas</w:t>
            </w:r>
          </w:p>
        </w:tc>
        <w:tc>
          <w:tcPr>
            <w:tcW w:type="dxa" w:w="1250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Horas/mes</w:t>
            </w:r>
          </w:p>
        </w:tc>
        <w:tc>
          <w:tcPr>
            <w:tcW w:type="dxa" w:w="2100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$10 mil nuevos</w:t>
            </w:r>
          </w:p>
        </w:tc>
        <w:tc>
          <w:tcPr>
            <w:tcW w:type="dxa" w:w="2100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$20 mil nuevos</w:t>
            </w:r>
          </w:p>
        </w:tc>
        <w:tc>
          <w:tcPr>
            <w:tcW w:type="dxa" w:w="2100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$30 mil nuevos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1</w:t>
            </w:r>
          </w:p>
        </w:tc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1</w:t>
            </w:r>
          </w:p>
        </w:tc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4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$10,000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$20,000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$30,000</w:t>
            </w:r>
          </w:p>
        </w:tc>
      </w:tr>
      <w:tr>
        <w:trPr>
          <w:cantSplit/>
        </w:trPr>
        <w:tc>
          <w:tcPr>
            <w:tcW w:type="dxa" w:w="80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2</w:t>
            </w:r>
          </w:p>
        </w:tc>
        <w:tc>
          <w:tcPr>
            <w:tcW w:type="dxa" w:w="135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2</w:t>
            </w:r>
          </w:p>
        </w:tc>
        <w:tc>
          <w:tcPr>
            <w:tcW w:type="dxa" w:w="125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8</w:t>
            </w:r>
          </w:p>
        </w:tc>
        <w:tc>
          <w:tcPr>
            <w:tcW w:type="dxa" w:w="210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$13,000</w:t>
            </w:r>
          </w:p>
        </w:tc>
        <w:tc>
          <w:tcPr>
            <w:tcW w:type="dxa" w:w="210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$26,000</w:t>
            </w:r>
          </w:p>
        </w:tc>
        <w:tc>
          <w:tcPr>
            <w:tcW w:type="dxa" w:w="210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$39,000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3</w:t>
            </w:r>
          </w:p>
        </w:tc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3</w:t>
            </w:r>
          </w:p>
        </w:tc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12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$16,000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$32,000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$48,000</w:t>
            </w:r>
          </w:p>
        </w:tc>
      </w:tr>
      <w:tr>
        <w:trPr>
          <w:cantSplit/>
        </w:trPr>
        <w:tc>
          <w:tcPr>
            <w:tcW w:type="dxa" w:w="80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4</w:t>
            </w:r>
          </w:p>
        </w:tc>
        <w:tc>
          <w:tcPr>
            <w:tcW w:type="dxa" w:w="135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4</w:t>
            </w:r>
          </w:p>
        </w:tc>
        <w:tc>
          <w:tcPr>
            <w:tcW w:type="dxa" w:w="125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14</w:t>
            </w:r>
          </w:p>
        </w:tc>
        <w:tc>
          <w:tcPr>
            <w:tcW w:type="dxa" w:w="210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$19,000</w:t>
            </w:r>
          </w:p>
        </w:tc>
        <w:tc>
          <w:tcPr>
            <w:tcW w:type="dxa" w:w="210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$38,000</w:t>
            </w:r>
          </w:p>
        </w:tc>
        <w:tc>
          <w:tcPr>
            <w:tcW w:type="dxa" w:w="210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$57,000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5</w:t>
            </w:r>
          </w:p>
        </w:tc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5</w:t>
            </w:r>
          </w:p>
        </w:tc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16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$22,000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$44,000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$66,000</w:t>
            </w:r>
          </w:p>
        </w:tc>
      </w:tr>
      <w:tr>
        <w:trPr>
          <w:cantSplit/>
        </w:trPr>
        <w:tc>
          <w:tcPr>
            <w:tcW w:type="dxa" w:w="80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6</w:t>
            </w:r>
          </w:p>
        </w:tc>
        <w:tc>
          <w:tcPr>
            <w:tcW w:type="dxa" w:w="135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6</w:t>
            </w:r>
          </w:p>
        </w:tc>
        <w:tc>
          <w:tcPr>
            <w:tcW w:type="dxa" w:w="125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18</w:t>
            </w:r>
          </w:p>
        </w:tc>
        <w:tc>
          <w:tcPr>
            <w:tcW w:type="dxa" w:w="210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$25,000</w:t>
            </w:r>
          </w:p>
        </w:tc>
        <w:tc>
          <w:tcPr>
            <w:tcW w:type="dxa" w:w="210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$50,000</w:t>
            </w:r>
          </w:p>
        </w:tc>
        <w:tc>
          <w:tcPr>
            <w:tcW w:type="dxa" w:w="210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$75,000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7</w:t>
            </w:r>
          </w:p>
        </w:tc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7</w:t>
            </w:r>
          </w:p>
        </w:tc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20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$28,000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$56,000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$84,000</w:t>
            </w:r>
          </w:p>
        </w:tc>
      </w:tr>
      <w:tr>
        <w:trPr>
          <w:cantSplit/>
        </w:trPr>
        <w:tc>
          <w:tcPr>
            <w:tcW w:type="dxa" w:w="80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8</w:t>
            </w:r>
          </w:p>
        </w:tc>
        <w:tc>
          <w:tcPr>
            <w:tcW w:type="dxa" w:w="135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8</w:t>
            </w:r>
          </w:p>
        </w:tc>
        <w:tc>
          <w:tcPr>
            <w:tcW w:type="dxa" w:w="125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22</w:t>
            </w:r>
          </w:p>
        </w:tc>
        <w:tc>
          <w:tcPr>
            <w:tcW w:type="dxa" w:w="210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$31,000</w:t>
            </w:r>
          </w:p>
        </w:tc>
        <w:tc>
          <w:tcPr>
            <w:tcW w:type="dxa" w:w="210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$62,000</w:t>
            </w:r>
          </w:p>
        </w:tc>
        <w:tc>
          <w:tcPr>
            <w:tcW w:type="dxa" w:w="210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$93,000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9</w:t>
            </w:r>
          </w:p>
        </w:tc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9</w:t>
            </w:r>
          </w:p>
        </w:tc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24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$34,000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$68,000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$102,000</w:t>
            </w:r>
          </w:p>
        </w:tc>
      </w:tr>
      <w:tr>
        <w:trPr>
          <w:cantSplit/>
        </w:trPr>
        <w:tc>
          <w:tcPr>
            <w:tcW w:type="dxa" w:w="80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10</w:t>
            </w:r>
          </w:p>
        </w:tc>
        <w:tc>
          <w:tcPr>
            <w:tcW w:type="dxa" w:w="135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10</w:t>
            </w:r>
          </w:p>
        </w:tc>
        <w:tc>
          <w:tcPr>
            <w:tcW w:type="dxa" w:w="125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26</w:t>
            </w:r>
          </w:p>
        </w:tc>
        <w:tc>
          <w:tcPr>
            <w:tcW w:type="dxa" w:w="210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$37,000</w:t>
            </w:r>
          </w:p>
        </w:tc>
        <w:tc>
          <w:tcPr>
            <w:tcW w:type="dxa" w:w="210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$74,000</w:t>
            </w:r>
          </w:p>
        </w:tc>
        <w:tc>
          <w:tcPr>
            <w:tcW w:type="dxa" w:w="210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$111,000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11</w:t>
            </w:r>
          </w:p>
        </w:tc>
        <w:tc>
          <w:tcPr>
            <w:tcW w:type="dxa" w:w="1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11</w:t>
            </w:r>
          </w:p>
        </w:tc>
        <w:tc>
          <w:tcPr>
            <w:tcW w:type="dxa" w:w="12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28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$40,000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$80,000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$120,000</w:t>
            </w:r>
          </w:p>
        </w:tc>
      </w:tr>
      <w:tr>
        <w:trPr>
          <w:cantSplit/>
        </w:trPr>
        <w:tc>
          <w:tcPr>
            <w:tcW w:type="dxa" w:w="80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12</w:t>
            </w:r>
          </w:p>
        </w:tc>
        <w:tc>
          <w:tcPr>
            <w:tcW w:type="dxa" w:w="135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12</w:t>
            </w:r>
          </w:p>
        </w:tc>
        <w:tc>
          <w:tcPr>
            <w:tcW w:type="dxa" w:w="125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30</w:t>
            </w:r>
          </w:p>
        </w:tc>
        <w:tc>
          <w:tcPr>
            <w:tcW w:type="dxa" w:w="210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$43,000</w:t>
            </w:r>
          </w:p>
        </w:tc>
        <w:tc>
          <w:tcPr>
            <w:tcW w:type="dxa" w:w="210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$86,000</w:t>
            </w:r>
          </w:p>
        </w:tc>
        <w:tc>
          <w:tcPr>
            <w:tcW w:type="dxa" w:w="210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$129,000</w:t>
            </w:r>
          </w:p>
        </w:tc>
      </w:tr>
    </w:tbl>
    <w:p>
      <w:pPr>
        <w:spacing w:after="0"/>
      </w:pPr>
    </w:p>
    <w:p>
      <w:r>
        <w:rPr>
          <w:rFonts w:ascii="Arial" w:hAnsi="Arial"/>
          <w:b/>
          <w:i w:val="0"/>
          <w:color w:val="233043"/>
          <w:sz w:val="20"/>
        </w:rPr>
        <w:t>Lectura rápida:</w:t>
      </w:r>
      <w:r>
        <w:rPr>
          <w:rFonts w:ascii="Arial" w:hAnsi="Arial"/>
          <w:b w:val="0"/>
          <w:i w:val="0"/>
          <w:color w:val="233043"/>
          <w:sz w:val="20"/>
        </w:rPr>
        <w:t xml:space="preserve"> en diciembre, quien mantiene el ritmo de $10,000 nuevos por mes genera $43,000 de comisión mensual; con $20,000 genera $86,000; y con $30,000 genera $129,000.</w:t>
      </w:r>
    </w:p>
    <w:p>
      <w:pPr>
        <w:pStyle w:val="Heading1"/>
      </w:pPr>
      <w:r>
        <w:t>3. Resultado acumulado del primer año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500"/>
        <w:gridCol w:w="1900"/>
        <w:gridCol w:w="1800"/>
        <w:gridCol w:w="1500"/>
        <w:gridCol w:w="1600"/>
        <w:gridCol w:w="1400"/>
      </w:tblGrid>
      <w:tr>
        <w:trPr>
          <w:tblHeader w:val="true"/>
          <w:cantSplit/>
        </w:trPr>
        <w:tc>
          <w:tcPr>
            <w:tcW w:type="dxa" w:w="1500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Escenario</w:t>
            </w:r>
          </w:p>
        </w:tc>
        <w:tc>
          <w:tcPr>
            <w:tcW w:type="dxa" w:w="1900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Cartera mensual al cierre</w:t>
            </w:r>
          </w:p>
        </w:tc>
        <w:tc>
          <w:tcPr>
            <w:tcW w:type="dxa" w:w="1800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Comisión total año 1</w:t>
            </w:r>
          </w:p>
        </w:tc>
        <w:tc>
          <w:tcPr>
            <w:tcW w:type="dxa" w:w="1500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Promedio mensual</w:t>
            </w:r>
          </w:p>
        </w:tc>
        <w:tc>
          <w:tcPr>
            <w:tcW w:type="dxa" w:w="1600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Comisión en diciembre</w:t>
            </w:r>
          </w:p>
        </w:tc>
        <w:tc>
          <w:tcPr>
            <w:tcW w:type="dxa" w:w="1400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Comisión por hora*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Ruta $10 mil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$120,000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$318,000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$26,500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$43,000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$1,432</w:t>
            </w:r>
          </w:p>
        </w:tc>
      </w:tr>
      <w:tr>
        <w:trPr>
          <w:cantSplit/>
        </w:trPr>
        <w:tc>
          <w:tcPr>
            <w:tcW w:type="dxa" w:w="150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Ruta $20 mil</w:t>
            </w:r>
          </w:p>
        </w:tc>
        <w:tc>
          <w:tcPr>
            <w:tcW w:type="dxa" w:w="190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$240,000</w:t>
            </w:r>
          </w:p>
        </w:tc>
        <w:tc>
          <w:tcPr>
            <w:tcW w:type="dxa" w:w="180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$636,000</w:t>
            </w:r>
          </w:p>
        </w:tc>
        <w:tc>
          <w:tcPr>
            <w:tcW w:type="dxa" w:w="150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$53,000</w:t>
            </w:r>
          </w:p>
        </w:tc>
        <w:tc>
          <w:tcPr>
            <w:tcW w:type="dxa" w:w="160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$86,000</w:t>
            </w:r>
          </w:p>
        </w:tc>
        <w:tc>
          <w:tcPr>
            <w:tcW w:type="dxa" w:w="140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$2,865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Ruta $30 mil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$360,000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$954,000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$79,500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$129,000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7"/>
              </w:rPr>
              <w:t>$4,297</w:t>
            </w:r>
          </w:p>
        </w:tc>
      </w:tr>
    </w:tbl>
    <w:p>
      <w:pPr>
        <w:spacing w:after="0"/>
      </w:pPr>
    </w:p>
    <w:p>
      <w:r>
        <w:rPr>
          <w:rFonts w:ascii="Arial" w:hAnsi="Arial"/>
          <w:b w:val="0"/>
          <w:i w:val="0"/>
          <w:color w:val="233043"/>
          <w:sz w:val="20"/>
        </w:rPr>
        <w:t>*La comisión por hora divide la comisión anual entre 222 horas estimadas de sesiones. No incluye prospección, preparación, administración, desplazamientos ni gestión comercial.</w:t>
      </w:r>
    </w:p>
    <w:tbl>
      <w:tblPr>
        <w:tblW w:type="dxa" w:w="97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3233"/>
        <w:gridCol w:w="3233"/>
        <w:gridCol w:w="3234"/>
      </w:tblGrid>
      <w:tr>
        <w:trPr>
          <w:cantSplit/>
        </w:trPr>
        <w:tc>
          <w:tcPr>
            <w:tcW w:type="dxa" w:w="3233"/>
            <w:shd w:fill="FF6B5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2"/>
              </w:rPr>
              <w:t>$318,000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AÑO 1 · RUTA 10 MIL</w:t>
            </w:r>
          </w:p>
        </w:tc>
        <w:tc>
          <w:tcPr>
            <w:tcW w:type="dxa" w:w="3233"/>
            <w:shd w:fill="59C3A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2"/>
              </w:rPr>
              <w:t>$636,000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AÑO 1 · RUTA 20 MIL</w:t>
            </w:r>
          </w:p>
        </w:tc>
        <w:tc>
          <w:tcPr>
            <w:tcW w:type="dxa" w:w="3234"/>
            <w:shd w:fill="2563E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2"/>
              </w:rPr>
              <w:t>$954,000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AÑO 1 · RUTA 30 MIL</w:t>
            </w:r>
          </w:p>
        </w:tc>
      </w:tr>
    </w:tbl>
    <w:p>
      <w:pPr>
        <w:spacing w:after="0"/>
      </w:pPr>
    </w:p>
    <w:p>
      <w:pPr>
        <w:pStyle w:val="Heading1"/>
      </w:pPr>
      <w:r>
        <w:t>4. Cuánto tiempo exige construir la cartera</w:t>
      </w:r>
    </w:p>
    <w:p>
      <w:r>
        <w:rPr>
          <w:rFonts w:ascii="Arial" w:hAnsi="Arial"/>
          <w:b w:val="0"/>
          <w:i w:val="0"/>
          <w:color w:val="233043"/>
          <w:sz w:val="20"/>
        </w:rPr>
        <w:t>Con una cuenta nueva al mes, la atención aumenta de manera gradual. El primer trimestre es de implantación; después, una parte de la cartera pasa a seguimiento continuo.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1500"/>
        <w:gridCol w:w="2200"/>
        <w:gridCol w:w="2100"/>
        <w:gridCol w:w="2100"/>
      </w:tblGrid>
      <w:tr>
        <w:trPr>
          <w:tblHeader w:val="true"/>
          <w:cantSplit/>
        </w:trPr>
        <w:tc>
          <w:tcPr>
            <w:tcW w:type="dxa" w:w="1800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Periodo</w:t>
            </w:r>
          </w:p>
        </w:tc>
        <w:tc>
          <w:tcPr>
            <w:tcW w:type="dxa" w:w="1500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Meses</w:t>
            </w:r>
          </w:p>
        </w:tc>
        <w:tc>
          <w:tcPr>
            <w:tcW w:type="dxa" w:w="2200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Carga mensual final</w:t>
            </w:r>
          </w:p>
        </w:tc>
        <w:tc>
          <w:tcPr>
            <w:tcW w:type="dxa" w:w="2100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Horas del trimestre</w:t>
            </w:r>
          </w:p>
        </w:tc>
        <w:tc>
          <w:tcPr>
            <w:tcW w:type="dxa" w:w="2100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Acumulado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Trimestre 1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Meses 1 a 3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12 h al cierre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24 h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24 h</w:t>
            </w:r>
          </w:p>
        </w:tc>
      </w:tr>
      <w:tr>
        <w:trPr>
          <w:cantSplit/>
        </w:trPr>
        <w:tc>
          <w:tcPr>
            <w:tcW w:type="dxa" w:w="180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Trimestre 2</w:t>
            </w:r>
          </w:p>
        </w:tc>
        <w:tc>
          <w:tcPr>
            <w:tcW w:type="dxa" w:w="150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Meses 4 a 6</w:t>
            </w:r>
          </w:p>
        </w:tc>
        <w:tc>
          <w:tcPr>
            <w:tcW w:type="dxa" w:w="220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18 h al cierre</w:t>
            </w:r>
          </w:p>
        </w:tc>
        <w:tc>
          <w:tcPr>
            <w:tcW w:type="dxa" w:w="210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48 h</w:t>
            </w:r>
          </w:p>
        </w:tc>
        <w:tc>
          <w:tcPr>
            <w:tcW w:type="dxa" w:w="210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72 h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Trimestre 3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Meses 7 a 9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24 h al cierre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66 h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138 h</w:t>
            </w:r>
          </w:p>
        </w:tc>
      </w:tr>
      <w:tr>
        <w:trPr>
          <w:cantSplit/>
        </w:trPr>
        <w:tc>
          <w:tcPr>
            <w:tcW w:type="dxa" w:w="180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Trimestre 4</w:t>
            </w:r>
          </w:p>
        </w:tc>
        <w:tc>
          <w:tcPr>
            <w:tcW w:type="dxa" w:w="150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Meses 10 a 12</w:t>
            </w:r>
          </w:p>
        </w:tc>
        <w:tc>
          <w:tcPr>
            <w:tcW w:type="dxa" w:w="220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30 h al cierre</w:t>
            </w:r>
          </w:p>
        </w:tc>
        <w:tc>
          <w:tcPr>
            <w:tcW w:type="dxa" w:w="210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84 h</w:t>
            </w:r>
          </w:p>
        </w:tc>
        <w:tc>
          <w:tcPr>
            <w:tcW w:type="dxa" w:w="210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222 h</w:t>
            </w:r>
          </w:p>
        </w:tc>
      </w:tr>
    </w:tbl>
    <w:p>
      <w:pPr>
        <w:spacing w:after="0"/>
      </w:pPr>
    </w:p>
    <w:tbl>
      <w:tblPr>
        <w:tblW w:type="dxa" w:w="97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700"/>
      </w:tblGrid>
      <w:tr>
        <w:trPr>
          <w:cantSplit/>
        </w:trPr>
        <w:tc>
          <w:tcPr>
            <w:tcW w:type="dxa" w:w="9700"/>
            <w:shd w:fill="FFF9E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6B5E"/>
                <w:sz w:val="19"/>
              </w:rPr>
              <w:t xml:space="preserve">PROMEDIO ANUAL  </w:t>
            </w:r>
            <w:r>
              <w:rPr>
                <w:rFonts w:ascii="Arial" w:hAnsi="Arial"/>
                <w:b w:val="0"/>
                <w:i w:val="0"/>
                <w:color w:val="233043"/>
                <w:sz w:val="19"/>
              </w:rPr>
              <w:t>222 horas de sesiones en el año: 18.5 horas al mes o aproximadamente 4.3 horas por semana. Este promedio es igual en las tres rutas solo porque se modela una cuenta nueva por mes.</w:t>
            </w:r>
          </w:p>
        </w:tc>
      </w:tr>
    </w:tbl>
    <w:p>
      <w:pPr>
        <w:spacing w:after="0"/>
      </w:pPr>
    </w:p>
    <w:p>
      <w:r>
        <w:rPr>
          <w:rFonts w:ascii="Arial" w:hAnsi="Arial"/>
          <w:b w:val="0"/>
          <w:i w:val="0"/>
          <w:color w:val="233043"/>
          <w:sz w:val="20"/>
        </w:rPr>
        <w:t>La cifra correcta para planear capacidad no es solamente la facturación. También importa cuántos clientes producen esa facturación. Una cuenta de $30,000 demanda menos agenda que seis cuentas de $5,000, aunque la venta total sea igual.</w:t>
      </w:r>
    </w:p>
    <w:p>
      <w:pPr>
        <w:pStyle w:val="Heading1"/>
      </w:pPr>
      <w:r>
        <w:t>5. Tres casos para visualizar el camino</w:t>
      </w:r>
    </w:p>
    <w:p>
      <w:pPr>
        <w:pStyle w:val="Heading2"/>
      </w:pPr>
      <w:r>
        <w:t>Caso 1 · Construcción disciplinada</w:t>
      </w:r>
    </w:p>
    <w:tbl>
      <w:tblPr>
        <w:tblW w:type="dxa" w:w="97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700"/>
      </w:tblGrid>
      <w:tr>
        <w:trPr>
          <w:cantSplit/>
        </w:trPr>
        <w:tc>
          <w:tcPr>
            <w:tcW w:type="dxa" w:w="9700"/>
            <w:shd w:fill="EEF4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563EB"/>
                <w:sz w:val="19"/>
              </w:rPr>
              <w:t xml:space="preserve">$10,000 NUEVOS CADA MES  </w:t>
            </w:r>
            <w:r>
              <w:rPr>
                <w:rFonts w:ascii="Arial" w:hAnsi="Arial"/>
                <w:b w:val="0"/>
                <w:i w:val="0"/>
                <w:color w:val="233043"/>
                <w:sz w:val="19"/>
              </w:rPr>
              <w:t>Una consultora empieza en paralelo con otra actividad. Cierra una cuenta pequeña por mes y protege la relación con dos sesiones mensuales después de la implantación. Al finalizar el año administra $120,000 mensuales de cartera y habría generado $318,000 en comisiones brutas.</w:t>
            </w:r>
          </w:p>
        </w:tc>
      </w:tr>
    </w:tbl>
    <w:p>
      <w:pPr>
        <w:spacing w:after="0"/>
      </w:pPr>
    </w:p>
    <w:p>
      <w:pPr>
        <w:pStyle w:val="Heading2"/>
      </w:pPr>
      <w:r>
        <w:t>Caso 2 · Especialista en crecimiento</w:t>
      </w:r>
    </w:p>
    <w:tbl>
      <w:tblPr>
        <w:tblW w:type="dxa" w:w="97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700"/>
      </w:tblGrid>
      <w:tr>
        <w:trPr>
          <w:cantSplit/>
        </w:trPr>
        <w:tc>
          <w:tcPr>
            <w:tcW w:type="dxa" w:w="9700"/>
            <w:shd w:fill="EEF4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563EB"/>
                <w:sz w:val="19"/>
              </w:rPr>
              <w:t xml:space="preserve">$20,000 NUEVOS CADA MES  </w:t>
            </w:r>
            <w:r>
              <w:rPr>
                <w:rFonts w:ascii="Arial" w:hAnsi="Arial"/>
                <w:b w:val="0"/>
                <w:i w:val="0"/>
                <w:color w:val="233043"/>
                <w:sz w:val="19"/>
              </w:rPr>
              <w:t>Un consultor domina una industria, usa casos reales y consigue cuentas medianas. Al terminar el año administra $240,000 mensuales de cartera y habría generado $636,000 en comisiones brutas. Su ventaja no es trabajar el doble: es vender una solución de mayor valor.</w:t>
            </w:r>
          </w:p>
        </w:tc>
      </w:tr>
    </w:tbl>
    <w:p>
      <w:pPr>
        <w:spacing w:after="0"/>
      </w:pPr>
    </w:p>
    <w:p>
      <w:pPr>
        <w:pStyle w:val="Heading2"/>
      </w:pPr>
      <w:r>
        <w:t>Caso 3 · Operación comercial enfocada</w:t>
      </w:r>
    </w:p>
    <w:tbl>
      <w:tblPr>
        <w:tblW w:type="dxa" w:w="97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700"/>
      </w:tblGrid>
      <w:tr>
        <w:trPr>
          <w:cantSplit/>
        </w:trPr>
        <w:tc>
          <w:tcPr>
            <w:tcW w:type="dxa" w:w="9700"/>
            <w:shd w:fill="EEF4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563EB"/>
                <w:sz w:val="19"/>
              </w:rPr>
              <w:t xml:space="preserve">$30,000 NUEVOS CADA MES  </w:t>
            </w:r>
            <w:r>
              <w:rPr>
                <w:rFonts w:ascii="Arial" w:hAnsi="Arial"/>
                <w:b w:val="0"/>
                <w:i w:val="0"/>
                <w:color w:val="233043"/>
                <w:sz w:val="19"/>
              </w:rPr>
              <w:t>Una persona o pequeña operación comercial mantiene prospección semanal, consultoría estructurada y seguimiento. Al cierre administra $360,000 mensuales de cartera y habría generado $954,000 en comisiones brutas. Para sostenerlo necesita agenda, documentación y calidad constantes.</w:t>
            </w:r>
          </w:p>
        </w:tc>
      </w:tr>
    </w:tbl>
    <w:p>
      <w:pPr>
        <w:spacing w:after="0"/>
      </w:pPr>
    </w:p>
    <w:p>
      <w:pPr>
        <w:pStyle w:val="Heading1"/>
      </w:pPr>
      <w:r>
        <w:t>6. Lo que pasa si solo vendes una vez</w:t>
      </w:r>
    </w:p>
    <w:p>
      <w:r>
        <w:rPr>
          <w:rFonts w:ascii="Arial" w:hAnsi="Arial"/>
          <w:b w:val="0"/>
          <w:i w:val="0"/>
          <w:color w:val="233043"/>
          <w:sz w:val="20"/>
        </w:rPr>
        <w:t>La recurrencia no reemplaza la prospección. Si el consultor vende una sola cuenta en enero y no vuelve a vender durante el año, el resultado sería muy distinto: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400"/>
        <w:gridCol w:w="4200"/>
        <w:gridCol w:w="3100"/>
      </w:tblGrid>
      <w:tr>
        <w:trPr>
          <w:tblHeader w:val="true"/>
          <w:cantSplit/>
        </w:trPr>
        <w:tc>
          <w:tcPr>
            <w:tcW w:type="dxa" w:w="2400"/>
            <w:shd w:fill="FF6B5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Factura mensual</w:t>
            </w:r>
          </w:p>
        </w:tc>
        <w:tc>
          <w:tcPr>
            <w:tcW w:type="dxa" w:w="4200"/>
            <w:shd w:fill="FF6B5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Actividad comercial</w:t>
            </w:r>
          </w:p>
        </w:tc>
        <w:tc>
          <w:tcPr>
            <w:tcW w:type="dxa" w:w="3100"/>
            <w:shd w:fill="FF6B5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Comisión bruta del año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$10,000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Una venta de $10,000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$43,000</w:t>
            </w:r>
          </w:p>
        </w:tc>
      </w:tr>
      <w:tr>
        <w:trPr>
          <w:cantSplit/>
        </w:trPr>
        <w:tc>
          <w:tcPr>
            <w:tcW w:type="dxa" w:w="2400"/>
            <w:shd w:fill="FFF0E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$20,000</w:t>
            </w:r>
          </w:p>
        </w:tc>
        <w:tc>
          <w:tcPr>
            <w:tcW w:type="dxa" w:w="4200"/>
            <w:shd w:fill="FFF0E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Una venta de $20,000</w:t>
            </w:r>
          </w:p>
        </w:tc>
        <w:tc>
          <w:tcPr>
            <w:tcW w:type="dxa" w:w="3100"/>
            <w:shd w:fill="FFF0E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$86,000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$30,000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Una venta de $30,000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$129,000</w:t>
            </w:r>
          </w:p>
        </w:tc>
      </w:tr>
    </w:tbl>
    <w:p>
      <w:pPr>
        <w:spacing w:after="0"/>
      </w:pPr>
    </w:p>
    <w:tbl>
      <w:tblPr>
        <w:tblW w:type="dxa" w:w="97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700"/>
      </w:tblGrid>
      <w:tr>
        <w:trPr>
          <w:cantSplit/>
        </w:trPr>
        <w:tc>
          <w:tcPr>
            <w:tcW w:type="dxa" w:w="9700"/>
            <w:shd w:fill="FFF9E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6B5E"/>
                <w:sz w:val="19"/>
              </w:rPr>
              <w:t xml:space="preserve">CONCLUSIÓN  </w:t>
            </w:r>
            <w:r>
              <w:rPr>
                <w:rFonts w:ascii="Arial" w:hAnsi="Arial"/>
                <w:b w:val="0"/>
                <w:i w:val="0"/>
                <w:color w:val="233043"/>
                <w:sz w:val="19"/>
              </w:rPr>
              <w:t>El ingreso atractivo no viene únicamente del 30% recurrente. Viene de combinar ventas nuevas, permanencia de clientes y acompañamiento que produce valor.</w:t>
            </w:r>
          </w:p>
        </w:tc>
      </w:tr>
    </w:tbl>
    <w:p>
      <w:pPr>
        <w:spacing w:after="0"/>
      </w:pPr>
    </w:p>
    <w:p>
      <w:pPr>
        <w:pStyle w:val="Heading1"/>
      </w:pPr>
      <w:r>
        <w:t>7. Rutina mínima para acercarte a la meta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000"/>
        <w:gridCol w:w="7700"/>
      </w:tblGrid>
      <w:tr>
        <w:trPr>
          <w:tblHeader w:val="true"/>
          <w:cantSplit/>
        </w:trPr>
        <w:tc>
          <w:tcPr>
            <w:tcW w:type="dxa" w:w="2000"/>
            <w:shd w:fill="59C3A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Frecuencia</w:t>
            </w:r>
          </w:p>
        </w:tc>
        <w:tc>
          <w:tcPr>
            <w:tcW w:type="dxa" w:w="7700"/>
            <w:shd w:fill="59C3A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Acción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Semanal</w:t>
            </w:r>
          </w:p>
        </w:tc>
        <w:tc>
          <w:tcPr>
            <w:tcW w:type="dxa" w:w="7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Prospectar, solicitar sesiones de consultoría, dar seguimiento a propuestas y revisar clientes con riesgo.</w:t>
            </w:r>
          </w:p>
        </w:tc>
      </w:tr>
      <w:tr>
        <w:trPr>
          <w:cantSplit/>
        </w:trPr>
        <w:tc>
          <w:tcPr>
            <w:tcW w:type="dxa" w:w="200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Mensual</w:t>
            </w:r>
          </w:p>
        </w:tc>
        <w:tc>
          <w:tcPr>
            <w:tcW w:type="dxa" w:w="770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Cerrar nueva facturación, completar sesiones, revisar uso, documentar acuerdos y solicitar recomendaciones.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Trimestral</w:t>
            </w:r>
          </w:p>
        </w:tc>
        <w:tc>
          <w:tcPr>
            <w:tcW w:type="dxa" w:w="7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Medir cartera activa, tasa de cierre, cancelaciones, horas invertidas, comisión real y oportunidades de expansión.</w:t>
            </w:r>
          </w:p>
        </w:tc>
      </w:tr>
      <w:tr>
        <w:trPr>
          <w:cantSplit/>
        </w:trPr>
        <w:tc>
          <w:tcPr>
            <w:tcW w:type="dxa" w:w="200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Siempre</w:t>
            </w:r>
          </w:p>
        </w:tc>
        <w:tc>
          <w:tcPr>
            <w:tcW w:type="dxa" w:w="7700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Responder en 24 horas, mantener certificaciones y vender valor antes de ofrecer descuentos.</w:t>
            </w:r>
          </w:p>
        </w:tc>
      </w:tr>
    </w:tbl>
    <w:p>
      <w:pPr>
        <w:spacing w:after="0"/>
      </w:pPr>
    </w:p>
    <w:p>
      <w:pPr>
        <w:pStyle w:val="Heading1"/>
      </w:pPr>
      <w:r>
        <w:t>8. Tu meta personal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5200"/>
        <w:gridCol w:w="4500"/>
      </w:tblGrid>
      <w:tr>
        <w:trPr>
          <w:tblHeader w:val="true"/>
          <w:cantSplit/>
        </w:trPr>
        <w:tc>
          <w:tcPr>
            <w:tcW w:type="dxa" w:w="5200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Definición</w:t>
            </w:r>
          </w:p>
        </w:tc>
        <w:tc>
          <w:tcPr>
            <w:tcW w:type="dxa" w:w="4500"/>
            <w:shd w:fill="2563E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Mi objetivo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Nueva facturación mensual que quiero incorporar</w:t>
            </w:r>
          </w:p>
        </w:tc>
        <w:tc>
          <w:tcPr>
            <w:tcW w:type="dxa" w:w="4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$________________ MXN</w:t>
            </w:r>
          </w:p>
        </w:tc>
      </w:tr>
      <w:tr>
        <w:trPr>
          <w:cantSplit/>
        </w:trPr>
        <w:tc>
          <w:tcPr>
            <w:tcW w:type="dxa" w:w="5200"/>
            <w:shd w:fill="FFF9E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Número máximo de cuentas nuevas por mes</w:t>
            </w:r>
          </w:p>
        </w:tc>
        <w:tc>
          <w:tcPr>
            <w:tcW w:type="dxa" w:w="4500"/>
            <w:shd w:fill="FFF9E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Horas semanales disponibles para consultoría</w:t>
            </w:r>
          </w:p>
        </w:tc>
        <w:tc>
          <w:tcPr>
            <w:tcW w:type="dxa" w:w="4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5200"/>
            <w:shd w:fill="FFF9E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Comisión bruta objetivo del año</w:t>
            </w:r>
          </w:p>
        </w:tc>
        <w:tc>
          <w:tcPr>
            <w:tcW w:type="dxa" w:w="4500"/>
            <w:shd w:fill="FFF9E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$________________ MXN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Industria o tipo de cliente prioritario</w:t>
            </w:r>
          </w:p>
        </w:tc>
        <w:tc>
          <w:tcPr>
            <w:tcW w:type="dxa" w:w="4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5200"/>
            <w:shd w:fill="FFF9E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Fecha de inicio</w:t>
            </w:r>
          </w:p>
        </w:tc>
        <w:tc>
          <w:tcPr>
            <w:tcW w:type="dxa" w:w="4500"/>
            <w:shd w:fill="FFF9E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________________</w:t>
            </w:r>
          </w:p>
        </w:tc>
      </w:tr>
    </w:tbl>
    <w:p>
      <w:pPr>
        <w:spacing w:after="0"/>
      </w:pPr>
    </w:p>
    <w:p>
      <w:pPr>
        <w:pStyle w:val="Heading1"/>
      </w:pPr>
      <w:r>
        <w:t>9. Tu siguiente paso</w:t>
      </w:r>
    </w:p>
    <w:tbl>
      <w:tblPr>
        <w:tblStyle w:val="TableGrid"/>
        <w:tblW w:type="dxa" w:w="97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3233"/>
        <w:gridCol w:w="3233"/>
        <w:gridCol w:w="3234"/>
      </w:tblGrid>
      <w:tr>
        <w:trPr>
          <w:tblHeader w:val="true"/>
          <w:cantSplit/>
        </w:trPr>
        <w:tc>
          <w:tcPr>
            <w:tcW w:type="dxa" w:w="3233"/>
            <w:shd w:fill="59C3A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Esta semana</w:t>
            </w:r>
          </w:p>
        </w:tc>
        <w:tc>
          <w:tcPr>
            <w:tcW w:type="dxa" w:w="3233"/>
            <w:shd w:fill="59C3A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Este mes</w:t>
            </w:r>
          </w:p>
        </w:tc>
        <w:tc>
          <w:tcPr>
            <w:tcW w:type="dxa" w:w="3234"/>
            <w:shd w:fill="59C3A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Después del cierre</w:t>
            </w:r>
          </w:p>
        </w:tc>
      </w:tr>
      <w:tr>
        <w:trPr>
          <w:cantSplit/>
        </w:trPr>
        <w:tc>
          <w:tcPr>
            <w:tcW w:type="dxa" w:w="32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Agenda sesiones de diagnóstico</w:t>
            </w:r>
          </w:p>
        </w:tc>
        <w:tc>
          <w:tcPr>
            <w:tcW w:type="dxa" w:w="32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Incorpora nueva facturación</w:t>
            </w:r>
          </w:p>
        </w:tc>
        <w:tc>
          <w:tcPr>
            <w:tcW w:type="dxa" w:w="32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Cumple el onboarding y documenta</w:t>
            </w:r>
          </w:p>
        </w:tc>
      </w:tr>
      <w:tr>
        <w:trPr>
          <w:cantSplit/>
        </w:trPr>
        <w:tc>
          <w:tcPr>
            <w:tcW w:type="dxa" w:w="3233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Da seguimiento a cada propuesta</w:t>
            </w:r>
          </w:p>
        </w:tc>
        <w:tc>
          <w:tcPr>
            <w:tcW w:type="dxa" w:w="3233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Solicita recomendaciones</w:t>
            </w:r>
          </w:p>
        </w:tc>
        <w:tc>
          <w:tcPr>
            <w:tcW w:type="dxa" w:w="3234"/>
            <w:shd w:fill="EFF9F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Mantén dos sesiones mensuales</w:t>
            </w:r>
          </w:p>
        </w:tc>
      </w:tr>
      <w:tr>
        <w:trPr>
          <w:cantSplit/>
        </w:trPr>
        <w:tc>
          <w:tcPr>
            <w:tcW w:type="dxa" w:w="32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Elige una industria prioritaria</w:t>
            </w:r>
          </w:p>
        </w:tc>
        <w:tc>
          <w:tcPr>
            <w:tcW w:type="dxa" w:w="323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Mide tu tasa de cierre</w:t>
            </w:r>
          </w:p>
        </w:tc>
        <w:tc>
          <w:tcPr>
            <w:tcW w:type="dxa" w:w="32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3043"/>
                <w:sz w:val="18"/>
              </w:rPr>
              <w:t>Detecta expansión y riesgo</w:t>
            </w:r>
          </w:p>
        </w:tc>
      </w:tr>
    </w:tbl>
    <w:p>
      <w:pPr>
        <w:spacing w:after="0"/>
      </w:pPr>
    </w:p>
    <w:tbl>
      <w:tblPr>
        <w:tblW w:type="dxa" w:w="970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700"/>
      </w:tblGrid>
      <w:tr>
        <w:trPr>
          <w:cantSplit/>
        </w:trPr>
        <w:tc>
          <w:tcPr>
            <w:tcW w:type="dxa" w:w="9700"/>
            <w:shd w:fill="FFF9E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6B5E"/>
                <w:sz w:val="19"/>
              </w:rPr>
              <w:t xml:space="preserve">MENSAJE FINAL  </w:t>
            </w:r>
            <w:r>
              <w:rPr>
                <w:rFonts w:ascii="Arial" w:hAnsi="Arial"/>
                <w:b w:val="0"/>
                <w:i w:val="0"/>
                <w:color w:val="233043"/>
                <w:sz w:val="19"/>
              </w:rPr>
              <w:t>Una cartera no se construye con motivación de un día. Se construye con una sesión agendada, una venta bien hecha y un cliente bien atendido cada mes.</w:t>
            </w:r>
          </w:p>
        </w:tc>
      </w:tr>
    </w:tbl>
    <w:p>
      <w:pPr>
        <w:spacing w:after="0"/>
      </w:pPr>
    </w:p>
    <w:p>
      <w:r>
        <w:rPr>
          <w:rFonts w:ascii="Arial" w:hAnsi="Arial"/>
          <w:b w:val="0"/>
          <w:i/>
          <w:color w:val="233043"/>
          <w:sz w:val="20"/>
        </w:rPr>
        <w:t>Documento ilustrativo para uso interno del programa de distribuidores de Índice. Las reglas vigentes del contrato y del manual operativo prevalecen sobre esta simulación.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094" w:bottom="979" w:left="109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2563EB"/>
        <w:sz w:val="16"/>
      </w:rPr>
      <w:t xml:space="preserve">INDICE TECHNOLOGIES INC.   •   </w:t>
    </w:r>
    <w:r>
      <w:rPr>
        <w:rFonts w:ascii="Arial" w:hAnsi="Arial"/>
        <w:color w:val="777777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2563EB"/>
        <w:sz w:val="16"/>
      </w:rPr>
      <w:t>ÍNDICE  |  RUTA DE INGRESOS PARA DISTRIBUIDORES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38A7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FF6B5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2563E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 w:val="0"/>
      <w:i/>
      <w:iCs/>
      <w:color w:val="777777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Ruta de ingresos para distribuidores</dc:title>
  <dc:subject>Programa de distribuidores Índice</dc:subject>
  <dc:creator>INDICE TECHNOLOGIES INC.</dc:creator>
  <cp:keywords>Índice, distribuidores, consultoría, contrato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