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320"/>
        <w:jc w:val="center"/>
      </w:pPr>
      <w:r>
        <w:rPr>
          <w:rFonts w:ascii="Arial" w:hAnsi="Arial"/>
          <w:b/>
          <w:color w:val="2563EB"/>
          <w:sz w:val="30"/>
        </w:rPr>
        <w:t>ÍNDICE</w:t>
      </w:r>
    </w:p>
    <w:p>
      <w:pPr>
        <w:spacing w:after="200"/>
        <w:jc w:val="center"/>
      </w:pPr>
      <w:r>
        <w:rPr>
          <w:rFonts w:ascii="Arial" w:hAnsi="Arial"/>
          <w:b/>
          <w:color w:val="FF6B5E"/>
          <w:sz w:val="18"/>
        </w:rPr>
        <w:t>PROGRAMA DE SOCIOS COMERCIALES</w:t>
      </w:r>
    </w:p>
    <w:p>
      <w:pPr>
        <w:spacing w:after="120"/>
        <w:jc w:val="center"/>
      </w:pPr>
      <w:r>
        <w:rPr>
          <w:rFonts w:ascii="Arial" w:hAnsi="Arial"/>
          <w:b/>
          <w:color w:val="2563EB"/>
          <w:sz w:val="50"/>
        </w:rPr>
        <w:t>Manual operativo para distribuidores y consultores</w:t>
      </w:r>
    </w:p>
    <w:p>
      <w:pPr>
        <w:pStyle w:val="Subtitle"/>
        <w:jc w:val="center"/>
      </w:pPr>
      <w:r>
        <w:t>Reglas de venta, acompañamiento, comisiones, certificación y uso de marca</w:t>
      </w:r>
    </w:p>
    <w:p>
      <w:pPr>
        <w:spacing w:before="360"/>
        <w:jc w:val="center"/>
      </w:pPr>
      <w:r>
        <w:rPr>
          <w:rFonts w:ascii="Arial" w:hAnsi="Arial"/>
          <w:color w:val="777777"/>
          <w:sz w:val="18"/>
        </w:rPr>
        <w:t>Versión 1.0 · Agosto de 2026</w:t>
      </w:r>
    </w:p>
    <w:p>
      <w:r>
        <w:br w:type="page"/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9E8"/>
          </w:tcPr>
          <w:p>
            <w:r>
              <w:rPr>
                <w:b/>
                <w:color w:val="FF6B5E"/>
              </w:rPr>
              <w:t xml:space="preserve">OBJETIVO  </w:t>
            </w:r>
            <w:r>
              <w:t>Establecer una sola forma de vender, registrar, implementar y acompañar clientes de Índice. Este manual es operativo; el contrato firmado prevalece ante cualquier contradicción.</w:t>
            </w:r>
          </w:p>
        </w:tc>
      </w:tr>
    </w:tbl>
    <w:p>
      <w:pPr>
        <w:spacing w:after="0"/>
      </w:pPr>
    </w:p>
    <w:p>
      <w:pPr>
        <w:pStyle w:val="Heading1"/>
      </w:pPr>
      <w:r>
        <w:t>1. Modelo del programa</w:t>
      </w:r>
    </w:p>
    <w:p>
      <w:r>
        <w:t>Índice se comercializa mediante personas certificadas. No existe una figura autorizada para vender sin certificación. El programa reconoce dos figuras independientes: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4200"/>
        <w:gridCol w:w="3300"/>
      </w:tblGrid>
      <w:tr>
        <w:trPr>
          <w:tblHeader w:val="true"/>
          <w:cantSplit/>
        </w:trPr>
        <w:tc>
          <w:tcPr>
            <w:tcW w:type="dxa" w:w="22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Figura</w:t>
            </w:r>
          </w:p>
        </w:tc>
        <w:tc>
          <w:tcPr>
            <w:tcW w:type="dxa" w:w="42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33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Compensación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Distribuidor certificado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Prospecta, registra y cierra la venta. No conserva obligaciones de atención después de la entrega comercial.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100% de la primera factura neta de impuestos. Sin comisión mensual.</w:t>
            </w:r>
          </w:p>
        </w:tc>
      </w:tr>
      <w:tr>
        <w:trPr>
          <w:cantSplit/>
        </w:trPr>
        <w:tc>
          <w:tcPr>
            <w:tcW w:type="dxa" w:w="22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Distribuidor-consultor</w:t>
            </w:r>
          </w:p>
        </w:tc>
        <w:tc>
          <w:tcPr>
            <w:tcW w:type="dxa" w:w="42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Vende, implementa, capacita, asesora y mantiene el seguimiento del cliente.</w:t>
            </w:r>
          </w:p>
        </w:tc>
        <w:tc>
          <w:tcPr>
            <w:tcW w:type="dxa" w:w="33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100% de la primera factura neta de impuestos + 30% de las facturas mensuales posteriores.</w:t>
            </w:r>
          </w:p>
        </w:tc>
      </w:tr>
    </w:tbl>
    <w:p>
      <w:pPr>
        <w:spacing w:after="0"/>
      </w:pPr>
    </w:p>
    <w:p>
      <w:r>
        <w:t>La certificación inicial habilita únicamente la venta y atención de los módulos básicos. Cada módulo complementario exige su certificación específica.</w:t>
      </w:r>
    </w:p>
    <w:p>
      <w:pPr>
        <w:pStyle w:val="Heading1"/>
      </w:pPr>
      <w:r>
        <w:t>2. Registro y protección de prospectos</w:t>
      </w:r>
    </w:p>
    <w:p>
      <w:pPr>
        <w:pStyle w:val="ListNumber"/>
        <w:spacing w:after="80"/>
        <w:ind w:left="432" w:hanging="288"/>
      </w:pPr>
      <w:r>
        <w:t>Registrar al prospecto en el sistema interno de contratos antes de reclamar protección comercial.</w:t>
      </w:r>
    </w:p>
    <w:p>
      <w:pPr>
        <w:pStyle w:val="ListNumber"/>
        <w:spacing w:after="80"/>
        <w:ind w:left="432" w:hanging="288"/>
      </w:pPr>
      <w:r>
        <w:t>Documentar comunicación real con el prospecto: mensajes, reunión, propuesta o seguimiento verificable.</w:t>
      </w:r>
    </w:p>
    <w:p>
      <w:pPr>
        <w:pStyle w:val="ListNumber"/>
        <w:spacing w:after="80"/>
        <w:ind w:left="432" w:hanging="288"/>
      </w:pPr>
      <w:r>
        <w:t>La protección dura un mes. Sin avances demostrables, el prospecto queda disponible.</w:t>
      </w:r>
    </w:p>
    <w:p>
      <w:pPr>
        <w:pStyle w:val="ListNumber"/>
        <w:spacing w:after="80"/>
        <w:ind w:left="432" w:hanging="288"/>
      </w:pPr>
      <w:r>
        <w:t>Si dos personas reclaman al mismo cliente, prevalece quien lo registró primero y demuestre comunicación efectiva.</w:t>
      </w:r>
    </w:p>
    <w:p>
      <w:pPr>
        <w:pStyle w:val="ListNumber"/>
        <w:spacing w:after="80"/>
        <w:ind w:left="432" w:hanging="288"/>
      </w:pPr>
      <w:r>
        <w:t>Corporativo puede vender directamente y asignar el acompañamiento a un consultor. En ese caso, el consultor recibe el 30% recurrente, pero no la primera factura.</w:t>
      </w:r>
    </w:p>
    <w:p>
      <w:pPr>
        <w:pStyle w:val="Heading1"/>
      </w:pPr>
      <w:r>
        <w:t>3. Reglas de comisiones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000"/>
        <w:gridCol w:w="6700"/>
      </w:tblGrid>
      <w:tr>
        <w:trPr>
          <w:tblHeader w:val="true"/>
          <w:cantSplit/>
        </w:trPr>
        <w:tc>
          <w:tcPr>
            <w:tcW w:type="dxa" w:w="30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7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Primera venta por distribuidor certificado</w:t>
            </w:r>
          </w:p>
        </w:tc>
        <w:tc>
          <w:tcPr>
            <w:tcW w:type="dxa" w:w="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Recibe el total de la primera factura, menos impuestos.</w:t>
            </w:r>
          </w:p>
        </w:tc>
      </w:tr>
      <w:tr>
        <w:trPr>
          <w:cantSplit/>
        </w:trPr>
        <w:tc>
          <w:tcPr>
            <w:tcW w:type="dxa" w:w="30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Primera venta por distribuidor-consultor</w:t>
            </w:r>
          </w:p>
        </w:tc>
        <w:tc>
          <w:tcPr>
            <w:tcW w:type="dxa" w:w="67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Recibe el total de la primera factura, menos impuestos, y 30% mensual posterior.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Crecimiento de la cuenta</w:t>
            </w:r>
          </w:p>
        </w:tc>
        <w:tc>
          <w:tcPr>
            <w:tcW w:type="dxa" w:w="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30% aplica al nuevo total por módulos, empleados o servicios añadidos.</w:t>
            </w:r>
          </w:p>
        </w:tc>
      </w:tr>
      <w:tr>
        <w:trPr>
          <w:cantSplit/>
        </w:trPr>
        <w:tc>
          <w:tcPr>
            <w:tcW w:type="dxa" w:w="30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Cliente que regresa</w:t>
            </w:r>
          </w:p>
        </w:tc>
        <w:tc>
          <w:tcPr>
            <w:tcW w:type="dxa" w:w="67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Nunca vuelve a generar comisión de primera factura. Si regresa con su consultor, sí genera la comisión mensual.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Pago tardío</w:t>
            </w:r>
          </w:p>
        </w:tc>
        <w:tc>
          <w:tcPr>
            <w:tcW w:type="dxa" w:w="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 comisión se paga hasta que Índice recibe el pago del cliente.</w:t>
            </w:r>
          </w:p>
        </w:tc>
      </w:tr>
      <w:tr>
        <w:trPr>
          <w:cantSplit/>
        </w:trPr>
        <w:tc>
          <w:tcPr>
            <w:tcW w:type="dxa" w:w="30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Reembolso o contracargo</w:t>
            </w:r>
          </w:p>
        </w:tc>
        <w:tc>
          <w:tcPr>
            <w:tcW w:type="dxa" w:w="67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 comisión pagada se descuenta del siguiente pago disponible.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Fecha de pago</w:t>
            </w:r>
          </w:p>
        </w:tc>
        <w:tc>
          <w:tcPr>
            <w:tcW w:type="dxa" w:w="6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Hasta cinco días después de que Índice recibe el pago del cliente. No existe monto mínimo.</w:t>
            </w:r>
          </w:p>
        </w:tc>
      </w:tr>
    </w:tbl>
    <w:p>
      <w:pPr>
        <w:spacing w:after="0"/>
      </w:pP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9E8"/>
          </w:tcPr>
          <w:p>
            <w:r>
              <w:rPr>
                <w:b/>
                <w:color w:val="FF6B5E"/>
              </w:rPr>
              <w:t xml:space="preserve">BASE DE CÁLCULO  </w:t>
            </w:r>
            <w:r>
              <w:t>Las comisiones se calculan sobre el importe facturado descontando únicamente los impuestos aplicables, salvo ajustes posteriores por reembolsos o contracargos.</w:t>
            </w:r>
          </w:p>
        </w:tc>
      </w:tr>
    </w:tbl>
    <w:p>
      <w:pPr>
        <w:spacing w:after="0"/>
      </w:pPr>
    </w:p>
    <w:p>
      <w:pPr>
        <w:pStyle w:val="Heading1"/>
      </w:pPr>
      <w:r>
        <w:t>4. Acompañamiento obligatorio</w:t>
      </w:r>
    </w:p>
    <w:p>
      <w:r>
        <w:t>El distribuidor-consultor es responsable de que el cliente adopte Índice y obtenga valor real. Debe responder solicitudes en un máximo de 24 horas. Si el asunto es extenso, debe responder dentro del plazo y agendar una sesión.</w:t>
      </w:r>
    </w:p>
    <w:p>
      <w:pPr>
        <w:pStyle w:val="Heading2"/>
      </w:pPr>
      <w:r>
        <w:t>Etapa inicial</w:t>
      </w:r>
    </w:p>
    <w:p>
      <w:pPr>
        <w:pStyle w:val="ListBullet"/>
        <w:spacing w:after="60"/>
        <w:ind w:left="360" w:hanging="216"/>
      </w:pPr>
      <w:r>
        <w:t>Realizar las seis sesiones del programa inicial o el número de sesiones incluido en el paquete contratado.</w:t>
      </w:r>
    </w:p>
    <w:p>
      <w:pPr>
        <w:pStyle w:val="ListBullet"/>
        <w:spacing w:after="60"/>
        <w:ind w:left="360" w:hanging="216"/>
      </w:pPr>
      <w:r>
        <w:t>Cubrir onboarding, configuración, capacitación, consultoría, revisión de uso, seguimiento de problemas y recomendación de módulos.</w:t>
      </w:r>
    </w:p>
    <w:p>
      <w:pPr>
        <w:pStyle w:val="ListBullet"/>
        <w:spacing w:after="60"/>
        <w:ind w:left="360" w:hanging="216"/>
      </w:pPr>
      <w:r>
        <w:t>Durante los primeros tres meses, dedicar como referencia mínima cuatro horas mensuales de sesiones cuando el paquete y la implantación lo requieran.</w:t>
      </w:r>
    </w:p>
    <w:p>
      <w:pPr>
        <w:pStyle w:val="Heading2"/>
      </w:pPr>
      <w:r>
        <w:t>Acompañamiento continuo</w:t>
      </w:r>
    </w:p>
    <w:p>
      <w:pPr>
        <w:pStyle w:val="ListBullet"/>
        <w:spacing w:after="60"/>
        <w:ind w:left="360" w:hanging="216"/>
      </w:pPr>
      <w:r>
        <w:t>Después del programa inicial, ofrecer hasta dos sesiones de consultoría sin costo al mes.</w:t>
      </w:r>
    </w:p>
    <w:p>
      <w:pPr>
        <w:pStyle w:val="ListBullet"/>
        <w:spacing w:after="60"/>
        <w:ind w:left="360" w:hanging="216"/>
      </w:pPr>
      <w:r>
        <w:t>Registrar y agendar todas las sesiones en el sistema de citas de consultoría de Índice.</w:t>
      </w:r>
    </w:p>
    <w:p>
      <w:pPr>
        <w:pStyle w:val="ListBullet"/>
        <w:spacing w:after="60"/>
        <w:ind w:left="360" w:hanging="216"/>
      </w:pPr>
      <w:r>
        <w:t>Dar seguimiento a acuerdos, uso, incidencias, oportunidades y riesgos de cancelación.</w:t>
      </w:r>
    </w:p>
    <w:p>
      <w:pPr>
        <w:pStyle w:val="Heading2"/>
      </w:pPr>
      <w:r>
        <w:t>Sesiones adicionales</w:t>
      </w:r>
    </w:p>
    <w:p>
      <w:r>
        <w:t>Las sesiones que excedan las dos gratuitas mensuales cuestan USD 79 antes de impuestos. El consultor recibe USD 50 e Índice retiene USD 29. El consultor puede regalar sesiones adicionales a su cliente, asumiendo el costo o tratamiento definido en el sistema.</w:t>
      </w:r>
    </w:p>
    <w:p>
      <w:pPr>
        <w:pStyle w:val="Heading1"/>
      </w:pPr>
      <w:r>
        <w:t>5. Soporte y escalamiento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800"/>
        <w:gridCol w:w="6900"/>
      </w:tblGrid>
      <w:tr>
        <w:trPr>
          <w:tblHeader w:val="true"/>
          <w:cantSplit/>
        </w:trPr>
        <w:tc>
          <w:tcPr>
            <w:tcW w:type="dxa" w:w="28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69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Alcance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Distribuidor-consultor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Asistencia de uso, capacitación de módulos, seguimiento operativo, cobro y gestión inicial de conflictos.</w:t>
            </w:r>
          </w:p>
        </w:tc>
      </w:tr>
      <w:tr>
        <w:trPr>
          <w:cantSplit/>
        </w:trPr>
        <w:tc>
          <w:tcPr>
            <w:tcW w:type="dxa" w:w="28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Corporativo</w:t>
            </w:r>
          </w:p>
        </w:tc>
        <w:tc>
          <w:tcPr>
            <w:tcW w:type="dxa" w:w="69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Problemas no resueltos, asuntos técnicos, casos de alto riesgo, apoyo especializado, segunda opinión y asesoría de cobro o conflicto.</w:t>
            </w:r>
          </w:p>
        </w:tc>
      </w:tr>
      <w:tr>
        <w:trPr>
          <w:cantSplit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Otros consultores</w:t>
            </w:r>
          </w:p>
        </w:tc>
        <w:tc>
          <w:tcPr>
            <w:tcW w:type="dxa" w:w="6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Pueden aportar una segunda opinión. El consultor titular conserva sus comisiones salvo que exista reasignación.</w:t>
            </w:r>
          </w:p>
        </w:tc>
      </w:tr>
    </w:tbl>
    <w:p>
      <w:pPr>
        <w:spacing w:after="0"/>
      </w:pPr>
    </w:p>
    <w:p>
      <w:r>
        <w:t>Corporativo puede contactar directamente al cliente para control de calidad, encuestas y evaluaciones periódicas sin autorización previa del consultor.</w:t>
      </w:r>
    </w:p>
    <w:p>
      <w:pPr>
        <w:pStyle w:val="Heading1"/>
      </w:pPr>
      <w:r>
        <w:t>6. Certificación y actualización</w:t>
      </w:r>
    </w:p>
    <w:p>
      <w:pPr>
        <w:pStyle w:val="ListBullet"/>
        <w:spacing w:after="60"/>
        <w:ind w:left="360" w:hanging="216"/>
      </w:pPr>
      <w:r>
        <w:t>La certificación inicial es obligatoria y gratuita.</w:t>
      </w:r>
    </w:p>
    <w:p>
      <w:pPr>
        <w:pStyle w:val="ListBullet"/>
        <w:spacing w:after="60"/>
        <w:ind w:left="360" w:hanging="216"/>
      </w:pPr>
      <w:r>
        <w:t>Índice puede realizar entre una y seis certificaciones al año.</w:t>
      </w:r>
    </w:p>
    <w:p>
      <w:pPr>
        <w:pStyle w:val="ListBullet"/>
        <w:spacing w:after="60"/>
        <w:ind w:left="360" w:hanging="216"/>
      </w:pPr>
      <w:r>
        <w:t>Cada módulo complementario nuevo exige certificación para poder venderlo.</w:t>
      </w:r>
    </w:p>
    <w:p>
      <w:pPr>
        <w:pStyle w:val="ListBullet"/>
        <w:spacing w:after="60"/>
        <w:ind w:left="360" w:hanging="216"/>
      </w:pPr>
      <w:r>
        <w:t>El plazo para presentar una certificación nueva es de 60 días desde su disponibilidad o notificación.</w:t>
      </w:r>
    </w:p>
    <w:p>
      <w:pPr>
        <w:pStyle w:val="ListBullet"/>
        <w:spacing w:after="60"/>
        <w:ind w:left="360" w:hanging="216"/>
      </w:pPr>
      <w:r>
        <w:t>Después del plazo, se aplica un cargo de USD 99 mensuales por cada certificación pendiente y queda prohibida la venta del módulo correspondiente.</w:t>
      </w:r>
    </w:p>
    <w:p>
      <w:pPr>
        <w:pStyle w:val="Heading1"/>
      </w:pPr>
      <w:r>
        <w:t>7. Calidad, quejas y apelación</w:t>
      </w:r>
    </w:p>
    <w:p>
      <w:r>
        <w:t>Una queja no produce una sanción automática. Corporativo debe investigar, escuchar al consultor y revisar pruebas. El consultor puede apelar y adjuntar evidencia en el sistema interno.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700"/>
        <w:gridCol w:w="6000"/>
      </w:tblGrid>
      <w:tr>
        <w:trPr>
          <w:tblHeader w:val="true"/>
          <w:cantSplit/>
        </w:trPr>
        <w:tc>
          <w:tcPr>
            <w:tcW w:type="dxa" w:w="37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Incidencia válida por cliente</w:t>
            </w:r>
          </w:p>
        </w:tc>
        <w:tc>
          <w:tcPr>
            <w:tcW w:type="dxa" w:w="60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Consecuencia</w:t>
            </w:r>
          </w:p>
        </w:tc>
      </w:tr>
      <w:tr>
        <w:trPr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Primera</w:t>
            </w:r>
          </w:p>
        </w:tc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Reducción del 50% de la comisión recurrente del cliente afectado durante un mes.</w:t>
            </w:r>
          </w:p>
        </w:tc>
      </w:tr>
      <w:tr>
        <w:trPr>
          <w:cantSplit/>
        </w:trPr>
        <w:tc>
          <w:tcPr>
            <w:tcW w:type="dxa" w:w="37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Segunda</w:t>
            </w:r>
          </w:p>
        </w:tc>
        <w:tc>
          <w:tcPr>
            <w:tcW w:type="dxa" w:w="60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Reducción del 50% de la comisión recurrente del cliente afectado durante dos meses.</w:t>
            </w:r>
          </w:p>
        </w:tc>
      </w:tr>
      <w:tr>
        <w:trPr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Tercera</w:t>
            </w:r>
          </w:p>
        </w:tc>
        <w:tc>
          <w:tcPr>
            <w:tcW w:type="dxa" w:w="6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Reasignación del cliente y pérdida de la comisión recurrente al concluir la transición.</w:t>
            </w:r>
          </w:p>
        </w:tc>
      </w:tr>
      <w:tr>
        <w:trPr>
          <w:cantSplit/>
        </w:trPr>
        <w:tc>
          <w:tcPr>
            <w:tcW w:type="dxa" w:w="37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Grave</w:t>
            </w:r>
          </w:p>
        </w:tc>
        <w:tc>
          <w:tcPr>
            <w:tcW w:type="dxa" w:w="600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Reasignación inmediata o terminación por peleas, insultos, faltas de respeto, acoso, fraude, robo u otra conducta grave.</w:t>
            </w:r>
          </w:p>
        </w:tc>
      </w:tr>
    </w:tbl>
    <w:p>
      <w:pPr>
        <w:spacing w:after="0"/>
      </w:pPr>
    </w:p>
    <w:p>
      <w:pPr>
        <w:pStyle w:val="Heading1"/>
      </w:pPr>
      <w:r>
        <w:t>8. Cambio y reasignación de clientes</w:t>
      </w:r>
    </w:p>
    <w:p>
      <w:pPr>
        <w:pStyle w:val="Heading2"/>
      </w:pPr>
      <w:r>
        <w:t>Cambio voluntario sin incumplimiento</w:t>
      </w:r>
    </w:p>
    <w:p>
      <w:r>
        <w:t>Durante seis meses, el consultor anterior y el nuevo reciben 15% cada uno. Después, el nuevo consultor recibe el 30% completo.</w:t>
      </w:r>
    </w:p>
    <w:p>
      <w:pPr>
        <w:pStyle w:val="Heading2"/>
      </w:pPr>
      <w:r>
        <w:t>Reasignación por incumplimiento</w:t>
      </w:r>
    </w:p>
    <w:p>
      <w:r>
        <w:t>La transición dura 30 días. Durante ella se ejecuta la entrega ordenada de contexto, acuerdos y pendientes. Al terminar, el consultor anterior pierde toda comisión y el nuevo recibe el 30% completo. Ningún consultor recibe una nueva comisión inicial por una cuenta ya existente.</w:t>
      </w:r>
    </w:p>
    <w:p>
      <w:pPr>
        <w:pStyle w:val="Heading1"/>
      </w:pPr>
      <w:r>
        <w:t>9. Uso comercial de la marca</w:t>
      </w:r>
    </w:p>
    <w:p>
      <w:r>
        <w:t>Índice concede a las personas activas y certificadas permiso limitado para comercializar usando la marca y presentarse como “Distribuidor autorizado” o “Distribuidor-consultor autorizado”, según corresponda.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4850"/>
        <w:gridCol w:w="4850"/>
      </w:tblGrid>
      <w:tr>
        <w:trPr>
          <w:tblHeader w:val="true"/>
          <w:cantSplit/>
        </w:trPr>
        <w:tc>
          <w:tcPr>
            <w:tcW w:type="dxa" w:w="485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Permitido</w:t>
            </w:r>
          </w:p>
        </w:tc>
        <w:tc>
          <w:tcPr>
            <w:tcW w:type="dxa" w:w="485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 permitido</w:t>
            </w:r>
          </w:p>
        </w:tc>
      </w:tr>
      <w:tr>
        <w:trPr>
          <w:cantSplit/>
        </w:trPr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logotipos y materiales oficiales sin alterarlos.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Cambiar colores, proporciones, tipografía, orientación o añadir efectos al logotipo.</w:t>
            </w:r>
          </w:p>
        </w:tc>
      </w:tr>
      <w:tr>
        <w:trPr>
          <w:cantSplit/>
        </w:trPr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Crear anuncios, contenido educativo, eventos, videos y perfiles para captar clientes.</w:t>
            </w:r>
          </w:p>
        </w:tc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Afirmar que es empleado, socio, franquicia, representante legal o corporativo de Índice.</w:t>
            </w:r>
          </w:p>
        </w:tc>
      </w:tr>
      <w:tr>
        <w:trPr>
          <w:cantSplit/>
        </w:trPr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Pagar publicidad y desarrollar una presencia pública como especialista o influencer de Índice.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Prometer funciones, precios, descuentos, resultados o fechas no autorizadas.</w:t>
            </w:r>
          </w:p>
        </w:tc>
      </w:tr>
      <w:tr>
        <w:trPr>
          <w:cantSplit/>
        </w:trPr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la señalización oficial de distribuidor autorizado mientras mantenga vigencia y certificación.</w:t>
            </w:r>
          </w:p>
        </w:tc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Registrar marcas, dominios, perfiles o nombres comerciales confundibles con Índice.</w:t>
            </w:r>
          </w:p>
        </w:tc>
      </w:tr>
      <w:tr>
        <w:trPr>
          <w:cantSplit/>
        </w:trPr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Adaptar mensajes al mercado local respetando el tono claro, profesional, humano y simple.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Publicar información confidencial, datos de clientes, materiales internos o tecnología propietaria.</w:t>
            </w:r>
          </w:p>
        </w:tc>
      </w:tr>
      <w:tr>
        <w:trPr>
          <w:cantSplit/>
        </w:trPr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Representar productos de terceros o competidores, sin usar información confidencial de Índice.</w:t>
            </w:r>
          </w:p>
        </w:tc>
        <w:tc>
          <w:tcPr>
            <w:tcW w:type="dxa" w:w="4850"/>
            <w:shd w:fill="EFF9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la marca después de la terminación o insinuar exclusividad territorial.</w:t>
            </w:r>
          </w:p>
        </w:tc>
      </w:tr>
    </w:tbl>
    <w:p>
      <w:pPr>
        <w:spacing w:after="0"/>
      </w:pP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9E8"/>
          </w:tcPr>
          <w:p>
            <w:r>
              <w:rPr>
                <w:b/>
                <w:color w:val="FF6B5E"/>
              </w:rPr>
              <w:t xml:space="preserve">LEYENDA RECOMENDADA  </w:t>
            </w:r>
            <w:r>
              <w:t>“Distribuidor independiente autorizado. Los servicios ofrecidos están sujetos a las políticas vigentes de Índice Technologies Inc.”</w:t>
            </w:r>
          </w:p>
        </w:tc>
      </w:tr>
    </w:tbl>
    <w:p>
      <w:pPr>
        <w:spacing w:after="0"/>
      </w:pPr>
    </w:p>
    <w:p>
      <w:pPr>
        <w:pStyle w:val="Heading1"/>
      </w:pPr>
      <w:r>
        <w:t>10. Salida y terminación</w:t>
      </w:r>
    </w:p>
    <w:p>
      <w:pPr>
        <w:pStyle w:val="ListBullet"/>
        <w:spacing w:after="60"/>
        <w:ind w:left="360" w:hanging="216"/>
      </w:pPr>
      <w:r>
        <w:t>El distribuidor puede retirarse mediante aviso escrito con 30 días de anticipación.</w:t>
      </w:r>
    </w:p>
    <w:p>
      <w:pPr>
        <w:pStyle w:val="ListBullet"/>
        <w:spacing w:after="60"/>
        <w:ind w:left="360" w:hanging="216"/>
      </w:pPr>
      <w:r>
        <w:t>Al terminar la relación pierde inmediatamente el derecho a comisiones recurrentes, salvo pagos ya devengados y no sujetos a ajuste.</w:t>
      </w:r>
    </w:p>
    <w:p>
      <w:pPr>
        <w:pStyle w:val="ListBullet"/>
        <w:spacing w:after="60"/>
        <w:ind w:left="360" w:hanging="216"/>
      </w:pPr>
      <w:r>
        <w:t>Los clientes son reasignados y debe completarse una entrega ordenada de información y pendientes.</w:t>
      </w:r>
    </w:p>
    <w:p>
      <w:pPr>
        <w:pStyle w:val="ListBullet"/>
        <w:spacing w:after="60"/>
        <w:ind w:left="360" w:hanging="216"/>
      </w:pPr>
      <w:r>
        <w:t>Índice puede terminar inmediatamente por faltas graves al reglamento, ética, robo, fraude, acoso, uso indebido de marca, divulgación confidencial o transferencia de tecnología a competidores.</w:t>
      </w:r>
    </w:p>
    <w:p>
      <w:pPr>
        <w:pStyle w:val="Heading1"/>
      </w:pPr>
      <w:r>
        <w:t>11. Lista de control del consultor</w:t>
      </w:r>
    </w:p>
    <w:p>
      <w:pPr>
        <w:pStyle w:val="ListBullet"/>
        <w:spacing w:after="60"/>
        <w:ind w:left="360" w:hanging="216"/>
      </w:pPr>
      <w:r>
        <w:t>☐ Certificación vigente</w:t>
      </w:r>
    </w:p>
    <w:p>
      <w:pPr>
        <w:pStyle w:val="ListBullet"/>
        <w:spacing w:after="60"/>
        <w:ind w:left="360" w:hanging="216"/>
      </w:pPr>
      <w:r>
        <w:t>☐ Prospecto registrado y documentado</w:t>
      </w:r>
    </w:p>
    <w:p>
      <w:pPr>
        <w:pStyle w:val="ListBullet"/>
        <w:spacing w:after="60"/>
        <w:ind w:left="360" w:hanging="216"/>
      </w:pPr>
      <w:r>
        <w:t>☐ Contrato y paquete confirmados</w:t>
      </w:r>
    </w:p>
    <w:p>
      <w:pPr>
        <w:pStyle w:val="ListBullet"/>
        <w:spacing w:after="60"/>
        <w:ind w:left="360" w:hanging="216"/>
      </w:pPr>
      <w:r>
        <w:t>☐ Sesiones iniciales calendarizadas</w:t>
      </w:r>
    </w:p>
    <w:p>
      <w:pPr>
        <w:pStyle w:val="ListBullet"/>
        <w:spacing w:after="60"/>
        <w:ind w:left="360" w:hanging="216"/>
      </w:pPr>
      <w:r>
        <w:t>☐ Sesiones registradas en plataforma</w:t>
      </w:r>
    </w:p>
    <w:p>
      <w:pPr>
        <w:pStyle w:val="ListBullet"/>
        <w:spacing w:after="60"/>
        <w:ind w:left="360" w:hanging="216"/>
      </w:pPr>
      <w:r>
        <w:t>☐ Respuesta al cliente dentro de 24 horas</w:t>
      </w:r>
    </w:p>
    <w:p>
      <w:pPr>
        <w:pStyle w:val="ListBullet"/>
        <w:spacing w:after="60"/>
        <w:ind w:left="360" w:hanging="216"/>
      </w:pPr>
      <w:r>
        <w:t>☐ Acuerdos y problemas documentados</w:t>
      </w:r>
    </w:p>
    <w:p>
      <w:pPr>
        <w:pStyle w:val="ListBullet"/>
        <w:spacing w:after="60"/>
        <w:ind w:left="360" w:hanging="216"/>
      </w:pPr>
      <w:r>
        <w:t>☐ Escalamiento oportuno a corporativo</w:t>
      </w:r>
    </w:p>
    <w:p>
      <w:pPr>
        <w:pStyle w:val="ListBullet"/>
        <w:spacing w:after="60"/>
        <w:ind w:left="360" w:hanging="216"/>
      </w:pPr>
      <w:r>
        <w:t>☐ Uso correcto de marca</w:t>
      </w:r>
    </w:p>
    <w:p>
      <w:pPr>
        <w:pStyle w:val="ListBullet"/>
        <w:spacing w:after="60"/>
        <w:ind w:left="360" w:hanging="216"/>
      </w:pPr>
      <w:r>
        <w:t>☐ Seguimiento de pago y renovación</w:t>
      </w:r>
    </w:p>
    <w:p>
      <w:r>
        <w:rPr>
          <w:i/>
        </w:rPr>
        <w:t>Control documental: este manual puede actualizarse. La versión publicada por Índice y el contrato vigente determinan las reglas aplicables.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94" w:bottom="979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2563EB"/>
        <w:sz w:val="16"/>
      </w:rPr>
      <w:t xml:space="preserve">INDICE TECHNOLOGIES INC.   •   </w:t>
    </w:r>
    <w:r>
      <w:rPr>
        <w:rFonts w:ascii="Arial" w:hAnsi="Arial"/>
        <w:color w:val="777777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2563EB"/>
        <w:sz w:val="16"/>
      </w:rPr>
      <w:t>ÍNDICE  |  MANUAL OPERATIVO DEL PROGRAMA DE DISTRIBUIDORES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8A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38A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563E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7777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del programa de distribuidores</dc:title>
  <dc:subject>Programa de distribuidores Índice</dc:subject>
  <dc:creator>INDICE TECHNOLOGIES INC.</dc:creator>
  <cp:keywords>Índice, distribuidores, consultoría, contrato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