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D93030"/>
          <w:sz w:val="96"/>
          <w:szCs w:val="96"/>
        </w:rPr>
        <w:t xml:space="preserve">LOTE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Brief de Identidad Visual — Paleta de Color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Ciudad de México · Mundial 2026 · v1.0</w:t>
      </w:r>
    </w:p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D93030"/>
          <w:spacing w:val="200"/>
          <w:sz w:val="18"/>
          <w:szCs w:val="18"/>
        </w:rPr>
        <w:t xml:space="preserve">01 — FILOSOFÍA DE COLOR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22"/>
          <w:sz w:val="52"/>
          <w:szCs w:val="52"/>
        </w:rPr>
        <w:t xml:space="preserve">Por qué estos colores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44"/>
          <w:sz w:val="22"/>
          <w:szCs w:val="22"/>
        </w:rPr>
        <w:t xml:space="preserve">La paleta de Lote no es decorativa. Cada color tiene una razón de existir que conecta directamente con el alma del producto: cálido pero tecnológico, mexicano pero universal, honesto pero no aterrador.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44"/>
          <w:sz w:val="22"/>
          <w:szCs w:val="22"/>
        </w:rPr>
        <w:t xml:space="preserve">El rojo no es el rojo de peligro corporativo. Es el rojo del barro, del chile, del corazón mexicano. El fondo no es negro vacío — es la noche de CDMX con el tono azulado del cielo antes del amanecer. El oro no es lujo — es el único guiño al Mundial que cabe sin gritar.</w:t>
      </w:r>
    </w:p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D93030"/>
          <w:spacing w:val="200"/>
          <w:sz w:val="18"/>
          <w:szCs w:val="18"/>
        </w:rPr>
        <w:t xml:space="preserve">02 — PALETA PRINCIPAL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22"/>
          <w:sz w:val="52"/>
          <w:szCs w:val="52"/>
        </w:rPr>
        <w:t xml:space="preserve">Los 5 colores base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3760"/>
      </w:tblGrid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pacing w:val="150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pacing w:val="150"/>
                <w:sz w:val="18"/>
                <w:szCs w:val="18"/>
              </w:rPr>
              <w:t xml:space="preserve">Nombre / Hex</w:t>
            </w:r>
          </w:p>
        </w:tc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pacing w:val="150"/>
                <w:sz w:val="18"/>
                <w:szCs w:val="18"/>
              </w:rPr>
              <w:t xml:space="preserve">Rol</w:t>
            </w:r>
          </w:p>
        </w:tc>
        <w:tc>
          <w:tcPr>
            <w:tcW w:type="dxa" w:w="37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pacing w:val="150"/>
                <w:sz w:val="18"/>
                <w:szCs w:val="18"/>
              </w:rPr>
              <w:t xml:space="preserve">Uso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3760"/>
      </w:tblGrid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D9303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4F2EE"/>
                <w:sz w:val="20"/>
                <w:szCs w:val="20"/>
              </w:rPr>
              <w:t xml:space="preserve">Rojo Lote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8"/>
                <w:szCs w:val="18"/>
              </w:rPr>
              <w:t xml:space="preserve">#D93030</w:t>
            </w:r>
          </w:p>
        </w:tc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Color primario — Identidad</w:t>
            </w:r>
          </w:p>
        </w:tc>
        <w:tc>
          <w:tcPr>
            <w:tcW w:type="dxa" w:w="37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CTAs, logo, alertas, borders de énfasis. El color central de Lote.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3760"/>
      </w:tblGrid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563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4F2EE"/>
                <w:sz w:val="20"/>
                <w:szCs w:val="20"/>
              </w:rPr>
              <w:t xml:space="preserve">Coral Azteca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8"/>
                <w:szCs w:val="18"/>
              </w:rPr>
              <w:t xml:space="preserve">#E8563A</w:t>
            </w:r>
          </w:p>
        </w:tc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Color secundario — Calidez</w:t>
            </w:r>
          </w:p>
        </w:tc>
        <w:tc>
          <w:tcPr>
            <w:tcW w:type="dxa" w:w="37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Gradientes con Rojo, estados hover, acentos secundarios. Referencia al barro prehispánico.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3760"/>
      </w:tblGrid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C8A84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4F2EE"/>
                <w:sz w:val="20"/>
                <w:szCs w:val="20"/>
              </w:rPr>
              <w:t xml:space="preserve">Oro Mundial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8"/>
                <w:szCs w:val="18"/>
              </w:rPr>
              <w:t xml:space="preserve">#C8A84B</w:t>
            </w:r>
          </w:p>
        </w:tc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Acento — Datos técnicos</w:t>
            </w:r>
          </w:p>
        </w:tc>
        <w:tc>
          <w:tcPr>
            <w:tcW w:type="dxa" w:w="37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Labels de datos, timestamps, texto monoespacio, detalles de precisión. Único guiño al Mundial.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3760"/>
      </w:tblGrid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4F2EE"/>
                <w:sz w:val="20"/>
                <w:szCs w:val="20"/>
              </w:rPr>
              <w:t xml:space="preserve">Tinta Profunda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8"/>
                <w:szCs w:val="18"/>
              </w:rPr>
              <w:t xml:space="preserve">#13172A</w:t>
            </w:r>
          </w:p>
        </w:tc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Fondo dark mode</w:t>
            </w:r>
          </w:p>
        </w:tc>
        <w:tc>
          <w:tcPr>
            <w:tcW w:type="dxa" w:w="37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Background principal en modo oscuro. Negro azulado — tecnológico, vivo, no vacío.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3760"/>
      </w:tblGrid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4F2E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4F2EE"/>
                <w:sz w:val="20"/>
                <w:szCs w:val="20"/>
              </w:rPr>
              <w:t xml:space="preserve">Niebla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8"/>
                <w:szCs w:val="18"/>
              </w:rPr>
              <w:t xml:space="preserve">#F4F2EE</w:t>
            </w:r>
          </w:p>
        </w:tc>
        <w:tc>
          <w:tcPr>
            <w:tcW w:type="dxa" w:w="2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Fondo light mode</w:t>
            </w:r>
          </w:p>
        </w:tc>
        <w:tc>
          <w:tcPr>
            <w:tcW w:type="dxa" w:w="37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Background principal en modo claro. Blanco cálido, no clínico. Se siente humano.</w:t>
            </w:r>
          </w:p>
        </w:tc>
      </w:tr>
    </w:tbl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D93030"/>
          <w:spacing w:val="200"/>
          <w:sz w:val="18"/>
          <w:szCs w:val="18"/>
        </w:rPr>
        <w:t xml:space="preserve">03 — SISTEMA DE ALERTAS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22"/>
          <w:sz w:val="52"/>
          <w:szCs w:val="52"/>
        </w:rPr>
        <w:t xml:space="preserve">El semáforo de Lote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44"/>
          <w:sz w:val="22"/>
          <w:szCs w:val="22"/>
        </w:rPr>
        <w:t xml:space="preserve">Los tres estados de zona son el corazón funcional del producto. Sus colores no son arbitrarios — están calibrados para comunicar urgencia sin generar pánico innecesario.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480"/>
        <w:gridCol w:w="3280"/>
      </w:tblGrid>
      <w:tr>
        <w:tc>
          <w:tcPr>
            <w:tcW w:type="dxa" w:w="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pacing w:val="1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pacing w:val="150"/>
                <w:sz w:val="18"/>
                <w:szCs w:val="18"/>
              </w:rPr>
              <w:t xml:space="preserve">Estado / Hex</w:t>
            </w:r>
          </w:p>
        </w:tc>
        <w:tc>
          <w:tcPr>
            <w:tcW w:type="dxa" w:w="348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pacing w:val="150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328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pacing w:val="150"/>
                <w:sz w:val="18"/>
                <w:szCs w:val="18"/>
              </w:rPr>
              <w:t xml:space="preserve">Ejemplo en UI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480"/>
        <w:gridCol w:w="3280"/>
      </w:tblGrid>
      <w:tr>
        <w:tc>
          <w:tcPr>
            <w:tcW w:type="dxa" w:w="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2ECC7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Verde — Tranquilo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#2ECC71</w:t>
            </w:r>
          </w:p>
        </w:tc>
        <w:tc>
          <w:tcPr>
            <w:tcW w:type="dxa" w:w="348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Sin incidencias reportadas. El usuario puede moverse con confianza.</w:t>
            </w:r>
          </w:p>
        </w:tc>
        <w:tc>
          <w:tcPr>
            <w:tcW w:type="dxa" w:w="328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Polígono verde suave en el mapa. Sin notificación.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480"/>
        <w:gridCol w:w="3280"/>
      </w:tblGrid>
      <w:tr>
        <w:tc>
          <w:tcPr>
            <w:tcW w:type="dxa" w:w="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0B42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0B429"/>
                <w:sz w:val="20"/>
                <w:szCs w:val="20"/>
              </w:rPr>
              <w:t xml:space="preserve">Amarillo — Monitorear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#F0B429</w:t>
            </w:r>
          </w:p>
        </w:tc>
        <w:tc>
          <w:tcPr>
            <w:tcW w:type="dxa" w:w="348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Actividad detectada. No urgente pero vale la pena revisar antes de salir.</w:t>
            </w:r>
          </w:p>
        </w:tc>
        <w:tc>
          <w:tcPr>
            <w:tcW w:type="dxa" w:w="328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Polígono amarillo pulsante. Notificación pasiva.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480"/>
        <w:gridCol w:w="3280"/>
      </w:tblGrid>
      <w:tr>
        <w:tc>
          <w:tcPr>
            <w:tcW w:type="dxa" w:w="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D9303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93030"/>
                <w:sz w:val="20"/>
                <w:szCs w:val="20"/>
              </w:rPr>
              <w:t xml:space="preserve">Rojo — Evitar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#D93030</w:t>
            </w:r>
          </w:p>
        </w:tc>
        <w:tc>
          <w:tcPr>
            <w:tcW w:type="dxa" w:w="348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Riesgo activo confirmado por múltiples fuentes. Lote redirige al usuario.</w:t>
            </w:r>
          </w:p>
        </w:tc>
        <w:tc>
          <w:tcPr>
            <w:tcW w:type="dxa" w:w="328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Polígono rojo sólido. Alerta activa + ruta alternativa.</w:t>
            </w:r>
          </w:p>
        </w:tc>
      </w:tr>
    </w:tbl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D93030"/>
          <w:spacing w:val="200"/>
          <w:sz w:val="18"/>
          <w:szCs w:val="18"/>
        </w:rPr>
        <w:t xml:space="preserve">04 — MODOS DE PANTALLA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22"/>
          <w:sz w:val="52"/>
          <w:szCs w:val="52"/>
        </w:rPr>
        <w:t xml:space="preserve">Dark y Light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44"/>
          <w:sz w:val="22"/>
          <w:szCs w:val="22"/>
        </w:rPr>
        <w:t xml:space="preserve">Lote es switcheable entre modo oscuro y claro. La paleta funciona en ambos sin perder identidad.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Dark Mode</w:t>
            </w:r>
          </w:p>
        </w:tc>
        <w:tc>
          <w:tcPr>
            <w:tcW w:type="dxa" w:w="468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Light Mode</w:t>
            </w:r>
          </w:p>
        </w:tc>
      </w:tr>
      <w:tr>
        <w:tc>
          <w:tcPr>
            <w:tcW w:type="dxa" w:w="468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77788"/>
                <w:sz w:val="18"/>
                <w:szCs w:val="18"/>
              </w:rPr>
              <w:t xml:space="preserve">Background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DDDDDD"/>
                <w:sz w:val="19"/>
                <w:szCs w:val="19"/>
              </w:rPr>
              <w:t xml:space="preserve">#13172A  Tinta Profunda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77788"/>
                <w:sz w:val="18"/>
                <w:szCs w:val="18"/>
              </w:rPr>
              <w:t xml:space="preserve">Superficie (cards)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DDDDDD"/>
                <w:sz w:val="19"/>
                <w:szCs w:val="19"/>
              </w:rPr>
              <w:t xml:space="preserve">#1E2438  Tinta Media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77788"/>
                <w:sz w:val="18"/>
                <w:szCs w:val="18"/>
              </w:rPr>
              <w:t xml:space="preserve">Texto principal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9"/>
                <w:szCs w:val="19"/>
              </w:rPr>
              <w:t xml:space="preserve">#F4F2EE  Niebla</w:t>
            </w:r>
          </w:p>
        </w:tc>
        <w:tc>
          <w:tcPr>
            <w:tcW w:type="dxa" w:w="468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4F2E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Background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333344"/>
                <w:sz w:val="19"/>
                <w:szCs w:val="19"/>
              </w:rPr>
              <w:t xml:space="preserve">#F4F2EE  Niebla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Superficie (cards)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333344"/>
                <w:sz w:val="19"/>
                <w:szCs w:val="19"/>
              </w:rPr>
              <w:t xml:space="preserve">#FFFFFF  Blanco puro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Texto principal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44"/>
                <w:sz w:val="19"/>
                <w:szCs w:val="19"/>
              </w:rPr>
              <w:t xml:space="preserve">#13172A  Tinta Profunda</w:t>
            </w:r>
          </w:p>
        </w:tc>
      </w:tr>
    </w:tbl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D93030"/>
          <w:spacing w:val="200"/>
          <w:sz w:val="18"/>
          <w:szCs w:val="18"/>
        </w:rPr>
        <w:t xml:space="preserve">05 — TIPOGRAFÍA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22"/>
          <w:sz w:val="52"/>
          <w:szCs w:val="52"/>
        </w:rPr>
        <w:t xml:space="preserve">Las fuentes de Lote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44"/>
          <w:sz w:val="22"/>
          <w:szCs w:val="22"/>
        </w:rPr>
        <w:t xml:space="preserve">Tres fuentes, tres roles. Todas disponibles en Google Fonts — sin licencias, sin dependencias.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pacing w:val="150"/>
                <w:sz w:val="18"/>
                <w:szCs w:val="18"/>
              </w:rPr>
              <w:t xml:space="preserve">Fuente</w:t>
            </w:r>
          </w:p>
        </w:tc>
        <w:tc>
          <w:tcPr>
            <w:tcW w:type="dxa" w:w="1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pacing w:val="150"/>
                <w:sz w:val="18"/>
                <w:szCs w:val="18"/>
              </w:rPr>
              <w:t xml:space="preserve">Peso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pacing w:val="150"/>
                <w:sz w:val="18"/>
                <w:szCs w:val="18"/>
              </w:rPr>
              <w:t xml:space="preserve">Rol</w:t>
            </w:r>
          </w:p>
        </w:tc>
        <w:tc>
          <w:tcPr>
            <w:tcW w:type="dxa" w:w="3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pacing w:val="150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33344"/>
                <w:sz w:val="19"/>
                <w:szCs w:val="19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Black / 900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Display</w:t>
            </w:r>
          </w:p>
        </w:tc>
        <w:tc>
          <w:tcPr>
            <w:tcW w:type="dxa" w:w="3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Logo, títulos, números grandes. La personalidad de Lote.</w:t>
            </w:r>
          </w:p>
        </w:tc>
      </w:tr>
      <w:tr>
        <w:tc>
          <w:tcPr>
            <w:tcW w:type="dxa" w:w="2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33344"/>
                <w:sz w:val="19"/>
                <w:szCs w:val="19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Regular / Medium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Body</w:t>
            </w:r>
          </w:p>
        </w:tc>
        <w:tc>
          <w:tcPr>
            <w:tcW w:type="dxa" w:w="3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Cuerpo de texto, chat, descripciones, UI general.</w:t>
            </w:r>
          </w:p>
        </w:tc>
      </w:tr>
      <w:tr>
        <w:tc>
          <w:tcPr>
            <w:tcW w:type="dxa" w:w="2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333344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1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Regular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Mono</w:t>
            </w:r>
          </w:p>
        </w:tc>
        <w:tc>
          <w:tcPr>
            <w:tcW w:type="dxa" w:w="3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Coordenadas, timestamps, datos técnicos, status.</w:t>
            </w:r>
          </w:p>
        </w:tc>
      </w:tr>
    </w:tbl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D93030"/>
          <w:spacing w:val="200"/>
          <w:sz w:val="18"/>
          <w:szCs w:val="18"/>
        </w:rPr>
        <w:t xml:space="preserve">06 — DESIGN TOKENS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22"/>
          <w:sz w:val="52"/>
          <w:szCs w:val="52"/>
        </w:rPr>
        <w:t xml:space="preserve">Para Luis y Nahum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44"/>
          <w:sz w:val="22"/>
          <w:szCs w:val="22"/>
        </w:rPr>
        <w:t xml:space="preserve">Copiar directo al CSS. Sin adivinar nada.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pacing w:val="150"/>
                <w:sz w:val="18"/>
                <w:szCs w:val="18"/>
              </w:rPr>
              <w:t xml:space="preserve">Token CSS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pacing w:val="150"/>
                <w:sz w:val="18"/>
                <w:szCs w:val="18"/>
              </w:rPr>
              <w:t xml:space="preserve">Valor</w:t>
            </w:r>
          </w:p>
        </w:tc>
        <w:tc>
          <w:tcPr>
            <w:tcW w:type="dxa" w:w="4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13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pacing w:val="150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9"/>
                <w:szCs w:val="19"/>
              </w:rPr>
              <w:t xml:space="preserve">--color-primary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44"/>
                <w:sz w:val="19"/>
                <w:szCs w:val="19"/>
              </w:rPr>
              <w:t xml:space="preserve">#D93030</w:t>
            </w:r>
          </w:p>
        </w:tc>
        <w:tc>
          <w:tcPr>
            <w:tcW w:type="dxa" w:w="4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CTAs, logo, identidad, alertas rojas</w:t>
            </w:r>
          </w:p>
        </w:tc>
      </w:tr>
      <w:tr>
        <w:tc>
          <w:tcPr>
            <w:tcW w:type="dxa" w:w="3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9"/>
                <w:szCs w:val="19"/>
              </w:rPr>
              <w:t xml:space="preserve">--color-secondary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44"/>
                <w:sz w:val="19"/>
                <w:szCs w:val="19"/>
              </w:rPr>
              <w:t xml:space="preserve">#E8563A</w:t>
            </w:r>
          </w:p>
        </w:tc>
        <w:tc>
          <w:tcPr>
            <w:tcW w:type="dxa" w:w="4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Gradientes, hovers, acentos</w:t>
            </w:r>
          </w:p>
        </w:tc>
      </w:tr>
      <w:tr>
        <w:tc>
          <w:tcPr>
            <w:tcW w:type="dxa" w:w="3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9"/>
                <w:szCs w:val="19"/>
              </w:rPr>
              <w:t xml:space="preserve">--color-accent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44"/>
                <w:sz w:val="19"/>
                <w:szCs w:val="19"/>
              </w:rPr>
              <w:t xml:space="preserve">#C8A84B</w:t>
            </w:r>
          </w:p>
        </w:tc>
        <w:tc>
          <w:tcPr>
            <w:tcW w:type="dxa" w:w="4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Labels de datos, mono, timestamps</w:t>
            </w:r>
          </w:p>
        </w:tc>
      </w:tr>
      <w:tr>
        <w:tc>
          <w:tcPr>
            <w:tcW w:type="dxa" w:w="3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9"/>
                <w:szCs w:val="19"/>
              </w:rPr>
              <w:t xml:space="preserve">--color-bg-dark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44"/>
                <w:sz w:val="19"/>
                <w:szCs w:val="19"/>
              </w:rPr>
              <w:t xml:space="preserve">#13172A</w:t>
            </w:r>
          </w:p>
        </w:tc>
        <w:tc>
          <w:tcPr>
            <w:tcW w:type="dxa" w:w="4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Fondo principal dark mode</w:t>
            </w:r>
          </w:p>
        </w:tc>
      </w:tr>
      <w:tr>
        <w:tc>
          <w:tcPr>
            <w:tcW w:type="dxa" w:w="3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9"/>
                <w:szCs w:val="19"/>
              </w:rPr>
              <w:t xml:space="preserve">--color-surface-dark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44"/>
                <w:sz w:val="19"/>
                <w:szCs w:val="19"/>
              </w:rPr>
              <w:t xml:space="preserve">#1E2438</w:t>
            </w:r>
          </w:p>
        </w:tc>
        <w:tc>
          <w:tcPr>
            <w:tcW w:type="dxa" w:w="4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Cards, panels, sidebar dark</w:t>
            </w:r>
          </w:p>
        </w:tc>
      </w:tr>
      <w:tr>
        <w:tc>
          <w:tcPr>
            <w:tcW w:type="dxa" w:w="3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9"/>
                <w:szCs w:val="19"/>
              </w:rPr>
              <w:t xml:space="preserve">--color-bg-light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44"/>
                <w:sz w:val="19"/>
                <w:szCs w:val="19"/>
              </w:rPr>
              <w:t xml:space="preserve">#F4F2EE</w:t>
            </w:r>
          </w:p>
        </w:tc>
        <w:tc>
          <w:tcPr>
            <w:tcW w:type="dxa" w:w="4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Fondo principal light mode</w:t>
            </w:r>
          </w:p>
        </w:tc>
      </w:tr>
      <w:tr>
        <w:tc>
          <w:tcPr>
            <w:tcW w:type="dxa" w:w="3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9"/>
                <w:szCs w:val="19"/>
              </w:rPr>
              <w:t xml:space="preserve">--color-text-dark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44"/>
                <w:sz w:val="19"/>
                <w:szCs w:val="19"/>
              </w:rPr>
              <w:t xml:space="preserve">#F4F2EE</w:t>
            </w:r>
          </w:p>
        </w:tc>
        <w:tc>
          <w:tcPr>
            <w:tcW w:type="dxa" w:w="4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Texto sobre fondo oscuro</w:t>
            </w:r>
          </w:p>
        </w:tc>
      </w:tr>
      <w:tr>
        <w:tc>
          <w:tcPr>
            <w:tcW w:type="dxa" w:w="3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9"/>
                <w:szCs w:val="19"/>
              </w:rPr>
              <w:t xml:space="preserve">--color-text-light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44"/>
                <w:sz w:val="19"/>
                <w:szCs w:val="19"/>
              </w:rPr>
              <w:t xml:space="preserve">#13172A</w:t>
            </w:r>
          </w:p>
        </w:tc>
        <w:tc>
          <w:tcPr>
            <w:tcW w:type="dxa" w:w="4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Texto sobre fondo claro</w:t>
            </w:r>
          </w:p>
        </w:tc>
      </w:tr>
      <w:tr>
        <w:tc>
          <w:tcPr>
            <w:tcW w:type="dxa" w:w="3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9"/>
                <w:szCs w:val="19"/>
              </w:rPr>
              <w:t xml:space="preserve">--color-safe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44"/>
                <w:sz w:val="19"/>
                <w:szCs w:val="19"/>
              </w:rPr>
              <w:t xml:space="preserve">#2ECC71</w:t>
            </w:r>
          </w:p>
        </w:tc>
        <w:tc>
          <w:tcPr>
            <w:tcW w:type="dxa" w:w="4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Zona verde — sin incidencias</w:t>
            </w:r>
          </w:p>
        </w:tc>
      </w:tr>
      <w:tr>
        <w:tc>
          <w:tcPr>
            <w:tcW w:type="dxa" w:w="3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9"/>
                <w:szCs w:val="19"/>
              </w:rPr>
              <w:t xml:space="preserve">--color-warn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44"/>
                <w:sz w:val="19"/>
                <w:szCs w:val="19"/>
              </w:rPr>
              <w:t xml:space="preserve">#F0B429</w:t>
            </w:r>
          </w:p>
        </w:tc>
        <w:tc>
          <w:tcPr>
            <w:tcW w:type="dxa" w:w="4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Zona amarilla — monitorear</w:t>
            </w:r>
          </w:p>
        </w:tc>
      </w:tr>
      <w:tr>
        <w:tc>
          <w:tcPr>
            <w:tcW w:type="dxa" w:w="3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9"/>
                <w:szCs w:val="19"/>
              </w:rPr>
              <w:t xml:space="preserve">--color-danger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44"/>
                <w:sz w:val="19"/>
                <w:szCs w:val="19"/>
              </w:rPr>
              <w:t xml:space="preserve">#D93030</w:t>
            </w:r>
          </w:p>
        </w:tc>
        <w:tc>
          <w:tcPr>
            <w:tcW w:type="dxa" w:w="4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Zona roja — evitar</w:t>
            </w:r>
          </w:p>
        </w:tc>
      </w:tr>
      <w:tr>
        <w:tc>
          <w:tcPr>
            <w:tcW w:type="dxa" w:w="3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9"/>
                <w:szCs w:val="19"/>
              </w:rPr>
              <w:t xml:space="preserve">--font-display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44"/>
                <w:sz w:val="19"/>
                <w:szCs w:val="19"/>
              </w:rPr>
              <w:t xml:space="preserve">Inter 900</w:t>
            </w:r>
          </w:p>
        </w:tc>
        <w:tc>
          <w:tcPr>
            <w:tcW w:type="dxa" w:w="4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Títulos, logo, números grandes</w:t>
            </w:r>
          </w:p>
        </w:tc>
      </w:tr>
      <w:tr>
        <w:tc>
          <w:tcPr>
            <w:tcW w:type="dxa" w:w="3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9"/>
                <w:szCs w:val="19"/>
              </w:rPr>
              <w:t xml:space="preserve">--font-body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44"/>
                <w:sz w:val="19"/>
                <w:szCs w:val="19"/>
              </w:rPr>
              <w:t xml:space="preserve">Inter 400/500</w:t>
            </w:r>
          </w:p>
        </w:tc>
        <w:tc>
          <w:tcPr>
            <w:tcW w:type="dxa" w:w="4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Cuerpo de texto, chat, UI</w:t>
            </w:r>
          </w:p>
        </w:tc>
      </w:tr>
      <w:tr>
        <w:tc>
          <w:tcPr>
            <w:tcW w:type="dxa" w:w="3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A84B"/>
                <w:sz w:val="19"/>
                <w:szCs w:val="19"/>
              </w:rPr>
              <w:t xml:space="preserve">--font-mono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44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4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8F8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Coordenadas, datos técnicos</w:t>
            </w:r>
          </w:p>
        </w:tc>
      </w:tr>
    </w:tbl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D93030"/>
          <w:spacing w:val="200"/>
          <w:sz w:val="18"/>
          <w:szCs w:val="18"/>
        </w:rPr>
        <w:t xml:space="preserve">07 — LO QUE NO ENTRA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22"/>
          <w:sz w:val="52"/>
          <w:szCs w:val="52"/>
        </w:rPr>
        <w:t xml:space="preserve">Colores prohibidos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44"/>
          <w:sz w:val="22"/>
          <w:szCs w:val="22"/>
        </w:rPr>
        <w:t xml:space="preserve">Tan importante como lo que sí usamos.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44"/>
          <w:sz w:val="22"/>
          <w:szCs w:val="22"/>
        </w:rPr>
        <w:t xml:space="preserve">Azul corporativo (#0066FF y similares) — se siente como app bancaria. No es Lote.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44"/>
          <w:sz w:val="22"/>
          <w:szCs w:val="22"/>
        </w:rPr>
        <w:t xml:space="preserve">Verde de salud (#00C853, esmeralda saturado) — confunde con apps médicas.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44"/>
          <w:sz w:val="22"/>
          <w:szCs w:val="22"/>
        </w:rPr>
        <w:t xml:space="preserve">Morado tech (#7C3AED y similares) — genérico, sin identidad.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44"/>
          <w:sz w:val="22"/>
          <w:szCs w:val="22"/>
        </w:rPr>
        <w:t xml:space="preserve">Negro puro (#000000) — frío, vacío, sin alma. Tinta Profunda lo reemplaza.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44"/>
          <w:sz w:val="22"/>
          <w:szCs w:val="22"/>
        </w:rPr>
        <w:t xml:space="preserve">Blanco puro (#FFFFFF) como fondo — clínico. Niebla lo reemplaza.</w:t>
      </w:r>
    </w:p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LOTE  ·  Brief de Paleta de Color  ·  Fase 0  ·  Junio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2026-06-09T21:59:27.142Z</dcterms:created>
  <dcterms:modified xsi:type="dcterms:W3CDTF">2026-06-09T21:59:27.154Z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