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C17" w:rsidRPr="000D2C17" w:rsidRDefault="000D2C17" w:rsidP="00D825D0">
      <w:pPr>
        <w:spacing w:after="0" w:line="360" w:lineRule="auto"/>
        <w:jc w:val="center"/>
        <w:rPr>
          <w:rStyle w:val="nfasis"/>
          <w:rFonts w:ascii="Times New Roman" w:hAnsi="Times New Roman" w:cs="Times New Roman"/>
        </w:rPr>
      </w:pPr>
      <w:r>
        <w:rPr>
          <w:rStyle w:val="nfasis"/>
          <w:rFonts w:ascii="Times New Roman" w:hAnsi="Times New Roman" w:cs="Times New Roman"/>
        </w:rPr>
        <w:t>Trabajo Final de Curso</w:t>
      </w:r>
      <w:r w:rsidRPr="000D2C17">
        <w:rPr>
          <w:rStyle w:val="nfasis"/>
          <w:rFonts w:ascii="Times New Roman" w:hAnsi="Times New Roman" w:cs="Times New Roman"/>
        </w:rPr>
        <w:t xml:space="preserve"> – </w:t>
      </w:r>
      <w:r>
        <w:rPr>
          <w:rStyle w:val="nfasis"/>
          <w:rFonts w:ascii="Times New Roman" w:hAnsi="Times New Roman" w:cs="Times New Roman"/>
        </w:rPr>
        <w:t xml:space="preserve">Las </w:t>
      </w:r>
      <w:r w:rsidRPr="000D2C17">
        <w:rPr>
          <w:rStyle w:val="nfasis"/>
          <w:rFonts w:ascii="Times New Roman" w:hAnsi="Times New Roman" w:cs="Times New Roman"/>
        </w:rPr>
        <w:t>Políticas Públicas en América Latina</w:t>
      </w:r>
    </w:p>
    <w:p w:rsidR="000D2C17" w:rsidRPr="000D2C17" w:rsidRDefault="000D2C17" w:rsidP="00D825D0">
      <w:pPr>
        <w:spacing w:after="0" w:line="360" w:lineRule="auto"/>
        <w:jc w:val="center"/>
        <w:rPr>
          <w:rStyle w:val="nfasis"/>
          <w:rFonts w:ascii="Times New Roman" w:hAnsi="Times New Roman" w:cs="Times New Roman"/>
          <w:b w:val="0"/>
          <w:bCs w:val="0"/>
        </w:rPr>
      </w:pPr>
      <w:r w:rsidRPr="000D2C17">
        <w:rPr>
          <w:rStyle w:val="nfasis"/>
          <w:rFonts w:ascii="Times New Roman" w:hAnsi="Times New Roman" w:cs="Times New Roman"/>
          <w:b w:val="0"/>
          <w:bCs w:val="0"/>
        </w:rPr>
        <w:t xml:space="preserve">Prof. </w:t>
      </w:r>
      <w:r>
        <w:rPr>
          <w:rStyle w:val="nfasis"/>
          <w:rFonts w:ascii="Times New Roman" w:hAnsi="Times New Roman" w:cs="Times New Roman"/>
          <w:b w:val="0"/>
          <w:bCs w:val="0"/>
        </w:rPr>
        <w:t>Nicolás Bentancur</w:t>
      </w:r>
      <w:r w:rsidRPr="000D2C17">
        <w:rPr>
          <w:rStyle w:val="nfasis"/>
          <w:rFonts w:ascii="Times New Roman" w:hAnsi="Times New Roman" w:cs="Times New Roman"/>
          <w:b w:val="0"/>
          <w:bCs w:val="0"/>
        </w:rPr>
        <w:t xml:space="preserve"> </w:t>
      </w:r>
      <w:r w:rsidRPr="000D2C17">
        <w:rPr>
          <w:rStyle w:val="nfasis"/>
          <w:rFonts w:ascii="Times New Roman" w:hAnsi="Times New Roman" w:cs="Times New Roman"/>
          <w:b w:val="0"/>
          <w:bCs w:val="0"/>
        </w:rPr>
        <w:cr/>
        <w:t>Maestría en Ciencia Política</w:t>
      </w:r>
    </w:p>
    <w:p w:rsidR="000D2C17" w:rsidRPr="000D2C17" w:rsidRDefault="000D2C17" w:rsidP="00D825D0">
      <w:pPr>
        <w:spacing w:after="0" w:line="360" w:lineRule="auto"/>
        <w:jc w:val="center"/>
        <w:rPr>
          <w:rStyle w:val="nfasis"/>
          <w:rFonts w:ascii="Times New Roman" w:hAnsi="Times New Roman" w:cs="Times New Roman"/>
          <w:b w:val="0"/>
          <w:bCs w:val="0"/>
        </w:rPr>
      </w:pPr>
      <w:r w:rsidRPr="000D2C17">
        <w:rPr>
          <w:rStyle w:val="nfasis"/>
          <w:rFonts w:ascii="Times New Roman" w:hAnsi="Times New Roman" w:cs="Times New Roman"/>
          <w:b w:val="0"/>
          <w:bCs w:val="0"/>
        </w:rPr>
        <w:t>FCS - Universidad de la República</w:t>
      </w: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Style w:val="nfasis"/>
          <w:rFonts w:ascii="Times New Roman" w:hAnsi="Times New Roman" w:cs="Times New Roman"/>
        </w:rPr>
      </w:pPr>
    </w:p>
    <w:p w:rsidR="000D2C17" w:rsidRPr="000D2C17" w:rsidRDefault="000D2C17" w:rsidP="00D825D0">
      <w:pPr>
        <w:jc w:val="center"/>
        <w:rPr>
          <w:rStyle w:val="nfasis"/>
          <w:rFonts w:ascii="Times New Roman" w:hAnsi="Times New Roman" w:cs="Times New Roman"/>
        </w:rPr>
      </w:pPr>
    </w:p>
    <w:p w:rsidR="000D2C17" w:rsidRPr="000D2C17" w:rsidRDefault="000D2C17" w:rsidP="00D825D0">
      <w:pPr>
        <w:pStyle w:val="Subttulo"/>
        <w:numPr>
          <w:ilvl w:val="0"/>
          <w:numId w:val="0"/>
        </w:numPr>
        <w:ind w:left="284"/>
        <w:jc w:val="center"/>
        <w:rPr>
          <w:rStyle w:val="nfasis"/>
          <w:i w:val="0"/>
          <w:iCs w:val="0"/>
          <w:sz w:val="22"/>
          <w:szCs w:val="22"/>
        </w:rPr>
      </w:pPr>
      <w:r>
        <w:rPr>
          <w:rStyle w:val="nfasis"/>
          <w:i w:val="0"/>
          <w:iCs w:val="0"/>
          <w:sz w:val="22"/>
          <w:szCs w:val="22"/>
        </w:rPr>
        <w:t xml:space="preserve">Perspectivas de la discusión sobre la </w:t>
      </w:r>
      <w:r w:rsidR="00C90FC2">
        <w:rPr>
          <w:rStyle w:val="nfasis"/>
          <w:i w:val="0"/>
          <w:iCs w:val="0"/>
          <w:sz w:val="22"/>
          <w:szCs w:val="22"/>
        </w:rPr>
        <w:t xml:space="preserve">idea de la </w:t>
      </w:r>
      <w:r>
        <w:rPr>
          <w:rStyle w:val="nfasis"/>
          <w:i w:val="0"/>
          <w:iCs w:val="0"/>
          <w:sz w:val="22"/>
          <w:szCs w:val="22"/>
        </w:rPr>
        <w:t>excepcionalidad uruguaya en el contexto latinoamericano</w:t>
      </w:r>
      <w:r w:rsidR="00C90FC2">
        <w:rPr>
          <w:rStyle w:val="nfasis"/>
          <w:i w:val="0"/>
          <w:iCs w:val="0"/>
          <w:sz w:val="22"/>
          <w:szCs w:val="22"/>
        </w:rPr>
        <w:t>. U</w:t>
      </w:r>
      <w:r>
        <w:rPr>
          <w:rStyle w:val="nfasis"/>
          <w:i w:val="0"/>
          <w:iCs w:val="0"/>
          <w:sz w:val="22"/>
          <w:szCs w:val="22"/>
        </w:rPr>
        <w:t>n argumento en contra de la excepcionalidad.</w:t>
      </w:r>
    </w:p>
    <w:p w:rsidR="000D2C17" w:rsidRPr="000D2C17" w:rsidRDefault="000D2C17" w:rsidP="00D825D0">
      <w:pPr>
        <w:rPr>
          <w:rStyle w:val="nfasis"/>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Default="000D2C17" w:rsidP="00D825D0">
      <w:pPr>
        <w:jc w:val="right"/>
        <w:rPr>
          <w:rFonts w:ascii="Times New Roman" w:hAnsi="Times New Roman" w:cs="Times New Roman"/>
        </w:rPr>
      </w:pPr>
      <w:r>
        <w:rPr>
          <w:rFonts w:ascii="Times New Roman" w:hAnsi="Times New Roman" w:cs="Times New Roman"/>
        </w:rPr>
        <w:t>Viviana Valenzuela</w:t>
      </w:r>
    </w:p>
    <w:p w:rsidR="000D2C17" w:rsidRDefault="000D2C17" w:rsidP="00D825D0">
      <w:pPr>
        <w:jc w:val="right"/>
        <w:rPr>
          <w:rFonts w:ascii="Times New Roman" w:hAnsi="Times New Roman" w:cs="Times New Roman"/>
        </w:rPr>
      </w:pPr>
      <w:r>
        <w:rPr>
          <w:rFonts w:ascii="Times New Roman" w:hAnsi="Times New Roman" w:cs="Times New Roman"/>
        </w:rPr>
        <w:t>Federico Acosta y Lara</w:t>
      </w:r>
    </w:p>
    <w:p w:rsidR="000D2C17" w:rsidRDefault="000D2C17" w:rsidP="00D825D0">
      <w:pPr>
        <w:jc w:val="right"/>
        <w:rPr>
          <w:rFonts w:ascii="Times New Roman" w:hAnsi="Times New Roman" w:cs="Times New Roman"/>
        </w:rPr>
      </w:pPr>
      <w:r w:rsidRPr="000D2C17">
        <w:rPr>
          <w:rFonts w:ascii="Times New Roman" w:hAnsi="Times New Roman" w:cs="Times New Roman"/>
        </w:rPr>
        <w:t>Nahuel Roel Aspeé</w:t>
      </w:r>
    </w:p>
    <w:p w:rsidR="000D2C17" w:rsidRPr="000D2C17" w:rsidRDefault="000D2C17" w:rsidP="00D825D0">
      <w:pPr>
        <w:jc w:val="right"/>
        <w:rPr>
          <w:rFonts w:ascii="Times New Roman" w:hAnsi="Times New Roman" w:cs="Times New Roman"/>
        </w:rPr>
      </w:pPr>
    </w:p>
    <w:p w:rsidR="000D2C17" w:rsidRPr="000D2C17" w:rsidRDefault="000D2C17" w:rsidP="00D825D0">
      <w:pPr>
        <w:jc w:val="right"/>
        <w:rPr>
          <w:rFonts w:ascii="Times New Roman" w:hAnsi="Times New Roman" w:cs="Times New Roman"/>
        </w:rPr>
      </w:pPr>
      <w:r w:rsidRPr="000D2C17">
        <w:rPr>
          <w:rFonts w:ascii="Times New Roman" w:hAnsi="Times New Roman" w:cs="Times New Roman"/>
        </w:rPr>
        <w:t>Diciembre 2022</w:t>
      </w:r>
    </w:p>
    <w:p w:rsidR="000D2C17" w:rsidRPr="000D2C17" w:rsidRDefault="000D2C17" w:rsidP="00D825D0">
      <w:pPr>
        <w:jc w:val="right"/>
        <w:rPr>
          <w:rFonts w:ascii="Times New Roman" w:hAnsi="Times New Roman" w:cs="Times New Roman"/>
        </w:rPr>
      </w:pPr>
    </w:p>
    <w:p w:rsidR="000D2C17" w:rsidRPr="000D2C17" w:rsidRDefault="000D2C17" w:rsidP="00D825D0">
      <w:pPr>
        <w:rPr>
          <w:rFonts w:ascii="Times New Roman" w:hAnsi="Times New Roman" w:cs="Times New Roman"/>
        </w:rPr>
      </w:pPr>
    </w:p>
    <w:p w:rsidR="000D2C17" w:rsidRPr="000D2C17" w:rsidRDefault="000D2C17" w:rsidP="00D825D0">
      <w:pPr>
        <w:spacing w:after="0" w:line="360" w:lineRule="auto"/>
        <w:ind w:firstLine="340"/>
        <w:rPr>
          <w:rFonts w:ascii="Times New Roman" w:eastAsia="Times New Roman" w:hAnsi="Times New Roman" w:cs="Times New Roman"/>
          <w:lang w:eastAsia="es-UY"/>
        </w:rPr>
      </w:pPr>
      <w:r w:rsidRPr="000D2C17">
        <w:rPr>
          <w:rFonts w:ascii="Times New Roman" w:eastAsia="Times New Roman" w:hAnsi="Times New Roman" w:cs="Times New Roman"/>
          <w:b/>
          <w:bCs/>
          <w:color w:val="000000"/>
          <w:lang w:eastAsia="es-UY"/>
        </w:rPr>
        <w:lastRenderedPageBreak/>
        <w:t>Introducc</w:t>
      </w:r>
      <w:r w:rsidRPr="000D2C17">
        <w:rPr>
          <w:rFonts w:ascii="Times New Roman" w:eastAsia="Times New Roman" w:hAnsi="Times New Roman" w:cs="Times New Roman"/>
          <w:b/>
          <w:bCs/>
          <w:color w:val="000000"/>
          <w:lang w:eastAsia="es-UY"/>
        </w:rPr>
        <w:t>ión </w:t>
      </w:r>
    </w:p>
    <w:p w:rsidR="00787428"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La singularidad histórica de Uruguay respecto a la región en una serie de dimensiones de tipo social, económicas y político-institucionales ha formado parte</w:t>
      </w:r>
      <w:r w:rsidR="00C90FC2">
        <w:rPr>
          <w:rFonts w:ascii="Times New Roman" w:eastAsia="Times New Roman" w:hAnsi="Times New Roman" w:cs="Times New Roman"/>
          <w:color w:val="000000"/>
          <w:lang w:eastAsia="es-UY"/>
        </w:rPr>
        <w:t xml:space="preserve"> importante</w:t>
      </w:r>
      <w:r w:rsidRPr="000D2C17">
        <w:rPr>
          <w:rFonts w:ascii="Times New Roman" w:eastAsia="Times New Roman" w:hAnsi="Times New Roman" w:cs="Times New Roman"/>
          <w:color w:val="000000"/>
          <w:lang w:eastAsia="es-UY"/>
        </w:rPr>
        <w:t xml:space="preserve"> de la construcción identitaria nacional</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{"citationID":"rQu60o2N","properties":{"formattedCitation":"(Rico, 2005)","plainCitation":"(Rico, 2005)","noteIndex":0},"citationItems":[{"id":174,"uris":["http://zotero.org/users/10325949/items/XQPIR58B"],"itemData":{"id":174,"type":"book","event-place":"Montevideo, Uruguay","publisher":"Ediciones Trilce","publisher-place":"Montevideo, Uruguay","title":"Cómo nos domina la clase gobernante. Orden político y obediencia social en la democracia posdictadura. Uruguay 1985-2005.","author":[{"family":"Rico","given":"Á."}],"issued":{"date-parts":[["2005"]]}}}],"schema":"https://github.com/citation-style-language/schema/raw/master/csl-citation.json"}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(Rico, 2005)</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Imbuida en procesos históricos de construcción y legitimación del poder político, la concepción del Uruguay como el “pequeño país modelo”</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{"citationID":"2yhZSWt6","properties":{"formattedCitation":"(Rial &amp; Perelli, 1986; Vanger, 1983)","plainCitation":"(Rial &amp; Perelli, 1986; Vanger, 1983)","noteIndex":0},"citationItems":[{"id":173,"uris":["http://zotero.org/users/10325949/items/NMBR84FC"],"itemData":{"id":173,"type":"book","event-place":"Montevideo, Uruguay","publisher":"Banda Oriental","publisher-place":"Montevideo, Uruguay","title":"De mitos y memorias políticas: la represión, el miedo y después.","author":[{"family":"Rial","given":"J."},{"family":"Perelli","given":"C."}],"issued":{"date-parts":[["1986"]]}}},{"id":177,"uris":["http://zotero.org/users/10325949/items/IZ8X5857"],"itemData":{"id":177,"type":"book","publisher":"Arca - Banda Oriental","title":"El país modelo: José Batlle y Ordóñez 1907-1915.","author":[{"family":"Vanger","given":"M."}],"issued":{"date-parts":[["1983"]]}},"label":"page"}],"schema":"https://github.com/citation-style-language/schema/raw/master/csl-citation.json"}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(Rial &amp; Perelli, 1986; Vanger, 1983)</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como una sociedad hiperintegrada</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{"citationID":"7PlPlbCf","properties":{"formattedCitation":"(Caetano, 2000; Rama, 1995)","plainCitation":"(Caetano, 2000; Rama, 1995)","noteIndex":0},"citationItems":[{"id":153,"uris":["http://zotero.org/users/10325949/items/J695T6HU"],"itemData":{"id":153,"type":"article-journal","container-title":"Sociohistórica","language":"Español","page":"11-51","title":"Lo privado desde lo público. Ciudadanía, nación y vida privada en el Centenario.","volume":"7","author":[{"family":"Caetano","given":"Gerardo"}],"issued":{"date-parts":[["2000"]]}}},{"id":170,"uris":["http://zotero.org/users/10325949/items/FSRGMTFF"],"itemData":{"id":170,"type":"book","edition":"Araca","title":"La democracia en Uruguay: una perspectiva de interpretación","author":[{"family":"Rama","given":"G."}],"issued":{"date-parts":[["1995"]]}}}],"schema":"https://github.com/citation-style-language/schema/raw/master/csl-citation.json"}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(Caetano, 2000; Rama, 1995)</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o más coloquialmente como la “Suiza de América”, se constituye en una perspectiva de cómo nos evaluamos a nosotros mismos desde nuestro rol ciudadano, pero también desde prácticas académicas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{"citationID":"qQLjPJ2x","properties":{"formattedCitation":"(Zannier Gl\\uc0\\u252{}ckstern, 2021)","plainCitation":"(Zannier Glückstern, 2021)","noteIndex":0},"citationItems":[{"id":181,"uris":["http://zotero.org/users/10325949/items/225LYUHR"],"itemData":{"id":181,"type":"thesis","genre":"Tesis de grado","publisher":"Universidad de la República","title":"Ciencia política, cultura excepcionalista y racismo en Uruguay. Una reflexión crítica desde los estudios decoloniales.","URL":"https://www.colibri.udelar.edu.uy/jspui/bitstream/20.500.12008/31151/1/TCP_ZannierFacundo.pdf","author":[{"family":"Zannier Glückstern","given":"F."}],"issued":{"date-parts":[["2021"]]}}}],"schema":"https://github.com/citation-style-language/schema/raw/master/csl-citation.json"}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szCs w:val="24"/>
        </w:rPr>
        <w:t>(Zannier Glückstern, 2021)</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En las próximas secciones buscaremos examinar esta caracterización de excepcionalidad desde una perspectiva </w:t>
      </w:r>
      <w:r w:rsidR="00C90FC2">
        <w:rPr>
          <w:rFonts w:ascii="Times New Roman" w:eastAsia="Times New Roman" w:hAnsi="Times New Roman" w:cs="Times New Roman"/>
          <w:color w:val="000000"/>
          <w:lang w:eastAsia="es-UY"/>
        </w:rPr>
        <w:t>enfocada en las</w:t>
      </w:r>
      <w:r w:rsidRPr="000D2C17">
        <w:rPr>
          <w:rFonts w:ascii="Times New Roman" w:eastAsia="Times New Roman" w:hAnsi="Times New Roman" w:cs="Times New Roman"/>
          <w:color w:val="000000"/>
          <w:lang w:eastAsia="es-UY"/>
        </w:rPr>
        <w:t xml:space="preserve"> capacidades estatales y utilizando datos socioeconómicos y políticos. </w:t>
      </w:r>
      <w:r w:rsidR="00787428">
        <w:rPr>
          <w:rFonts w:ascii="Times New Roman" w:eastAsia="Times New Roman" w:hAnsi="Times New Roman" w:cs="Times New Roman"/>
          <w:color w:val="000000"/>
          <w:lang w:eastAsia="es-UY"/>
        </w:rPr>
        <w:t>Entre las conclusiones</w:t>
      </w:r>
      <w:r w:rsidR="00C90FC2">
        <w:rPr>
          <w:rFonts w:ascii="Times New Roman" w:eastAsia="Times New Roman" w:hAnsi="Times New Roman" w:cs="Times New Roman"/>
          <w:color w:val="000000"/>
          <w:lang w:eastAsia="es-UY"/>
        </w:rPr>
        <w:t>,</w:t>
      </w:r>
      <w:r w:rsidR="00787428">
        <w:rPr>
          <w:rFonts w:ascii="Times New Roman" w:eastAsia="Times New Roman" w:hAnsi="Times New Roman" w:cs="Times New Roman"/>
          <w:color w:val="000000"/>
          <w:lang w:eastAsia="es-UY"/>
        </w:rPr>
        <w:t xml:space="preserve"> se destaca que s</w:t>
      </w:r>
      <w:r w:rsidRPr="000D2C17">
        <w:rPr>
          <w:rFonts w:ascii="Times New Roman" w:eastAsia="Times New Roman" w:hAnsi="Times New Roman" w:cs="Times New Roman"/>
          <w:color w:val="000000"/>
          <w:lang w:eastAsia="es-UY"/>
        </w:rPr>
        <w:t xml:space="preserve">i bien Uruguay tiene características mensurables que lo diferencian positivamente </w:t>
      </w:r>
      <w:r w:rsidR="00C90FC2">
        <w:rPr>
          <w:rFonts w:ascii="Times New Roman" w:eastAsia="Times New Roman" w:hAnsi="Times New Roman" w:cs="Times New Roman"/>
          <w:color w:val="000000"/>
          <w:lang w:eastAsia="es-UY"/>
        </w:rPr>
        <w:t>de</w:t>
      </w:r>
      <w:r w:rsidRPr="000D2C17">
        <w:rPr>
          <w:rFonts w:ascii="Times New Roman" w:eastAsia="Times New Roman" w:hAnsi="Times New Roman" w:cs="Times New Roman"/>
          <w:color w:val="000000"/>
          <w:lang w:eastAsia="es-UY"/>
        </w:rPr>
        <w:t xml:space="preserve"> la región, existen dimensiones en las que el Estado uruguayo falla en la provisión de bienes públicos,</w:t>
      </w:r>
      <w:r w:rsidR="00C90FC2">
        <w:rPr>
          <w:rFonts w:ascii="Times New Roman" w:eastAsia="Times New Roman" w:hAnsi="Times New Roman" w:cs="Times New Roman"/>
          <w:color w:val="000000"/>
          <w:lang w:eastAsia="es-UY"/>
        </w:rPr>
        <w:t xml:space="preserve"> tratándose de</w:t>
      </w:r>
      <w:r w:rsidRPr="000D2C17">
        <w:rPr>
          <w:rFonts w:ascii="Times New Roman" w:eastAsia="Times New Roman" w:hAnsi="Times New Roman" w:cs="Times New Roman"/>
          <w:color w:val="000000"/>
          <w:lang w:eastAsia="es-UY"/>
        </w:rPr>
        <w:t xml:space="preserve"> dimensiones básicas para el ejercicio pleno de la libertad de los ciudadanos.</w:t>
      </w:r>
      <w:r w:rsidR="00787428">
        <w:rPr>
          <w:rFonts w:ascii="Times New Roman" w:eastAsia="Times New Roman" w:hAnsi="Times New Roman" w:cs="Times New Roman"/>
          <w:color w:val="000000"/>
          <w:lang w:eastAsia="es-UY"/>
        </w:rPr>
        <w:t xml:space="preserve"> Al analizar las mediciones relativas a estas dimensiones, usualmente podemos ver a Uruguay registrando valores </w:t>
      </w:r>
      <w:r w:rsidR="00C90FC2">
        <w:rPr>
          <w:rFonts w:ascii="Times New Roman" w:eastAsia="Times New Roman" w:hAnsi="Times New Roman" w:cs="Times New Roman"/>
          <w:color w:val="000000"/>
          <w:lang w:eastAsia="es-UY"/>
        </w:rPr>
        <w:t>bastante</w:t>
      </w:r>
      <w:r w:rsidR="00787428">
        <w:rPr>
          <w:rFonts w:ascii="Times New Roman" w:eastAsia="Times New Roman" w:hAnsi="Times New Roman" w:cs="Times New Roman"/>
          <w:color w:val="000000"/>
          <w:lang w:eastAsia="es-UY"/>
        </w:rPr>
        <w:t xml:space="preserve"> negativos en relación a otros países de la región</w:t>
      </w:r>
      <w:r w:rsidR="00C90FC2">
        <w:rPr>
          <w:rFonts w:ascii="Times New Roman" w:eastAsia="Times New Roman" w:hAnsi="Times New Roman" w:cs="Times New Roman"/>
          <w:color w:val="000000"/>
          <w:lang w:eastAsia="es-UY"/>
        </w:rPr>
        <w:t>.</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color w:val="000000"/>
          <w:lang w:eastAsia="es-UY"/>
        </w:rPr>
        <w:t>Capacidades estatales</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La capacidad estatal es definida, a efectos de este trabajo, como “la aptitud de los entes estatales para alcanzar los fines que le han sido asignados interna o externamente”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{"citationID":"gPrwZZwc","properties":{"formattedCitation":"(Bertranou, 2015, p. 39)","plainCitation":"(Bertranou, 2015, p. 39)","noteIndex":0},"citationItems":[{"id":152,"uris":["http://zotero.org/users/10325949/items/LXBFXYLK"],"itemData":{"id":152,"type":"article-journal","container-title":"Revista Estado y Políticas Públicas","language":"Español","page":"37-59","title":"Capacidad estatal: revisión del concepto y algunos ejes de análisis y debate","volume":"4","author":[{"family":"Bertranou","given":"Julián"}],"issued":{"date-parts":[["2015"]]}},"locator":"39","label":"page"}],"schema":"https://github.com/citation-style-language/schema/raw/master/csl-citation.json"}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(Bertranou, 2015, p. 39)</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En este trabajo incluimos a los derechos básicos constitucionales como claros exponentes de deberes estatales. Por ejemplo, el derecho a la protección de la salud y la vida (Art. 7 y 44 de la Constitución de la República), a la educación (Art. 71), seguridad y preservación de su integridad física (Art. 7, Art. 26) o protección del medio ambiente (Art 47). La vinculación práctica entre las capacidades estatales y el enfoque de derechos establecido anteriormente se da a través de las opciones de política efectivamente llevadas adelante por el Estado. Estas se convierten en una medida de capacidad estatal en dos sentidos: primero su implementación se da en el marco de un sistema de relación público-privado y un set de recursos dado; segundo, la adopción de una política por sobre otra opción presumiblemente más efectiva puede deberse a la incapacidad estatal de implementar esta última</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{"citationID":"700UbWpb","properties":{"formattedCitation":"(Bertranou, 2015)","plainCitation":"(Bertranou, 2015)","noteIndex":0},"citationItems":[{"id":152,"uris":["http://zotero.org/users/10325949/items/LXBFXYLK"],"itemData":{"id":152,"type":"article-journal","container-title":"Revista Estado y Políticas Públicas","language":"Español","page":"37-59","title":"Capacidad estatal: revisión del concepto y algunos ejes de análisis y debate","volume":"4","author":[{"family":"Bertranou","given":"Julián"}],"issued":{"date-parts":[["2015"]]}}}],"schema":"https://github.com/citation-style-language/schema/raw/master/csl-citation.json"}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(Bertranou, 2015)</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De esta forma, en este trabajo se utilizará el resultado de las políticas tendientes a proteger estos derechos básicos como proxy de la capacidad del Estado </w:t>
      </w:r>
      <w:r w:rsidR="00C90FC2">
        <w:rPr>
          <w:rFonts w:ascii="Times New Roman" w:eastAsia="Times New Roman" w:hAnsi="Times New Roman" w:cs="Times New Roman"/>
          <w:color w:val="000000"/>
          <w:lang w:eastAsia="es-UY"/>
        </w:rPr>
        <w:t>u</w:t>
      </w:r>
      <w:r w:rsidRPr="000D2C17">
        <w:rPr>
          <w:rFonts w:ascii="Times New Roman" w:eastAsia="Times New Roman" w:hAnsi="Times New Roman" w:cs="Times New Roman"/>
          <w:color w:val="000000"/>
          <w:lang w:eastAsia="es-UY"/>
        </w:rPr>
        <w:t>ruguayo. </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Por supuesto, el proceso de políticas no se restringe a una cuestión técnica, sino que se desarrolla en determinados contextos políticos. Esto, es decir, que la capacidad estatal no se limita a una cuestión organizacional, sino que tiene un componente institucional, de reglas formales e informales, que debe ser tenido en cuenta</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{"citationID":"36lDxtZw","properties":{"formattedCitation":"(Rosas Huerta, 2008)","plainCitation":"(Rosas Huerta, 2008)","noteIndex":0},"citationItems":[{"id":178,"uris":["http://zotero.org/users/10325949/items/ZMZ5NXF5"],"itemData":{"id":178,"type":"article-journal","container-title":"Política y Cultura","page":"119-134","title":"Una ruta metodológica para evaluar la capacidad institucional.","volume":"30","author":[{"family":"Rosas Huerta","given":"A."}],"issued":{"date-parts":[["2008"]]}}}],"schema":"https://github.com/citation-style-language/schema/raw/master/csl-citation.json"}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(Rosas Huerta, 2008)</w:t>
      </w:r>
      <w:r w:rsidR="00D930A1">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Para considerar este aspecto, </w:t>
      </w:r>
      <w:r w:rsidRPr="000D2C17">
        <w:rPr>
          <w:rFonts w:ascii="Times New Roman" w:eastAsia="Times New Roman" w:hAnsi="Times New Roman" w:cs="Times New Roman"/>
          <w:color w:val="000000"/>
          <w:lang w:eastAsia="es-UY"/>
        </w:rPr>
        <w:lastRenderedPageBreak/>
        <w:t>incluimos datos sobre la aceptación del régimen democrático, la existencia de mecanismos de accountability e indicadores sobre la estabilidad del sistema político en algunas dimensiones tradicionalmente consideradas relevantes.  </w:t>
      </w:r>
    </w:p>
    <w:p w:rsidR="00627955" w:rsidRDefault="00627955" w:rsidP="00D825D0">
      <w:pPr>
        <w:spacing w:after="0" w:line="360" w:lineRule="auto"/>
        <w:ind w:firstLine="340"/>
        <w:rPr>
          <w:rFonts w:ascii="Times New Roman" w:eastAsia="Times New Roman" w:hAnsi="Times New Roman" w:cs="Times New Roman"/>
          <w:color w:val="000000"/>
          <w:lang w:eastAsia="es-UY"/>
        </w:rPr>
      </w:pPr>
    </w:p>
    <w:p w:rsidR="000D2C17" w:rsidRPr="000D2C17" w:rsidRDefault="000D2C17" w:rsidP="00D825D0">
      <w:pPr>
        <w:spacing w:after="0" w:line="360" w:lineRule="auto"/>
        <w:ind w:firstLine="340"/>
        <w:rPr>
          <w:rFonts w:ascii="Times New Roman" w:eastAsia="Times New Roman" w:hAnsi="Times New Roman" w:cs="Times New Roman"/>
          <w:i/>
          <w:iCs/>
          <w:sz w:val="24"/>
          <w:szCs w:val="24"/>
          <w:lang w:eastAsia="es-UY"/>
        </w:rPr>
      </w:pPr>
      <w:r w:rsidRPr="000D2C17">
        <w:rPr>
          <w:rFonts w:ascii="Times New Roman" w:eastAsia="Times New Roman" w:hAnsi="Times New Roman" w:cs="Times New Roman"/>
          <w:b/>
          <w:bCs/>
          <w:i/>
          <w:iCs/>
          <w:color w:val="000000"/>
          <w:lang w:eastAsia="es-UY"/>
        </w:rPr>
        <w:t>El Estado Uruguayo de cara a la región</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En relación con las capacidades estatales, Uruguay ha sido frecuentemente destacado cómo un país singular en la región, desde una extendida perspectiva que asume que las problemáticas latinoamericanas se manifiestan en este país de forma disminuida. A modo de ejemplo, observar dimensiones como la pobreza o la desigualdad puede generar la visión de un Uruguay excepcional. En cuanto al porcentaje de población por debajo de la línea de pobreza, una enorme brecha separa a Uruguay del resto de países: el país está muy por debajo del promedio de América Latina, e incluso está separado por un margen considerable de países como Costa Rica, que suele situarse muy bien en otros índices. Lo mismo sucede al mirar la desigualdad en cuanto a ingresos, medida según el Índice de GINI: un guarismo de 0,40 posiciona a Uruguay a la cabeza de América Latina</w:t>
      </w:r>
      <w:r w:rsidR="00627955">
        <w:rPr>
          <w:rFonts w:ascii="Times New Roman" w:eastAsia="Times New Roman" w:hAnsi="Times New Roman" w:cs="Times New Roman"/>
          <w:color w:val="000000"/>
          <w:lang w:eastAsia="es-UY"/>
        </w:rPr>
        <w:t xml:space="preserve"> </w:t>
      </w:r>
      <w:r w:rsidR="00627955">
        <w:rPr>
          <w:rFonts w:ascii="Times New Roman" w:eastAsia="Times New Roman" w:hAnsi="Times New Roman" w:cs="Times New Roman"/>
          <w:color w:val="000000"/>
          <w:lang w:eastAsia="es-UY"/>
        </w:rPr>
        <w:fldChar w:fldCharType="begin"/>
      </w:r>
      <w:r w:rsidR="00627955">
        <w:rPr>
          <w:rFonts w:ascii="Times New Roman" w:eastAsia="Times New Roman" w:hAnsi="Times New Roman" w:cs="Times New Roman"/>
          <w:color w:val="000000"/>
          <w:lang w:eastAsia="es-UY"/>
        </w:rPr>
        <w:instrText xml:space="preserve"> ADDIN ZOTERO_ITEM CSL_CITATION {"citationID":"MZfexu9P","properties":{"formattedCitation":"(Amarante &amp; Colacce, 2018)","plainCitation":"(Amarante &amp; Colacce, 2018)","noteIndex":0},"citationItems":[{"id":185,"uris":["http://zotero.org/users/10325949/items/5PPECDMR"],"itemData":{"id":185,"type":"article-journal","container-title":"Revista de la CEPAL","issue":"124","title":"¿Más o menos desiguales? Una revisión sobre la desigualdad de los ingresos a nivel global, regional y nacional","author":[{"family":"Amarante","given":"V."},{"family":"Colacce","given":"M."}],"issued":{"date-parts":[["2018"]]}}}],"schema":"https://github.com/citation-style-language/schema/raw/master/csl-citation.json"} </w:instrText>
      </w:r>
      <w:r w:rsidR="00627955">
        <w:rPr>
          <w:rFonts w:ascii="Times New Roman" w:eastAsia="Times New Roman" w:hAnsi="Times New Roman" w:cs="Times New Roman"/>
          <w:color w:val="000000"/>
          <w:lang w:eastAsia="es-UY"/>
        </w:rPr>
        <w:fldChar w:fldCharType="separate"/>
      </w:r>
      <w:r w:rsidR="00627955" w:rsidRPr="00627955">
        <w:rPr>
          <w:rFonts w:ascii="Times New Roman" w:hAnsi="Times New Roman" w:cs="Times New Roman"/>
        </w:rPr>
        <w:t>(Amarante &amp; Colacce, 2018)</w:t>
      </w:r>
      <w:r w:rsidR="00627955">
        <w:rPr>
          <w:rFonts w:ascii="Times New Roman" w:eastAsia="Times New Roman" w:hAnsi="Times New Roman" w:cs="Times New Roman"/>
          <w:color w:val="000000"/>
          <w:lang w:eastAsia="es-UY"/>
        </w:rPr>
        <w:fldChar w:fldCharType="end"/>
      </w:r>
      <w:r w:rsidR="00627955">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xml:space="preserve"> Estos resultados se vinculan al desarrollo de programas de pensiones y de transferencias, que son recibidas por parte de los hogares de menores recursos. Tal cómo explica</w:t>
      </w:r>
      <w:r w:rsidR="00627955">
        <w:rPr>
          <w:rFonts w:ascii="Times New Roman" w:eastAsia="Times New Roman" w:hAnsi="Times New Roman" w:cs="Times New Roman"/>
          <w:color w:val="000000"/>
          <w:lang w:eastAsia="es-UY"/>
        </w:rPr>
        <w:t xml:space="preserve"> </w:t>
      </w:r>
      <w:r w:rsidR="00627955">
        <w:rPr>
          <w:rFonts w:ascii="Times New Roman" w:eastAsia="Times New Roman" w:hAnsi="Times New Roman" w:cs="Times New Roman"/>
          <w:color w:val="000000"/>
          <w:lang w:eastAsia="es-UY"/>
        </w:rPr>
        <w:fldChar w:fldCharType="begin"/>
      </w:r>
      <w:r w:rsidR="00B94A0A">
        <w:rPr>
          <w:rFonts w:ascii="Times New Roman" w:eastAsia="Times New Roman" w:hAnsi="Times New Roman" w:cs="Times New Roman"/>
          <w:color w:val="000000"/>
          <w:lang w:eastAsia="es-UY"/>
        </w:rPr>
        <w:instrText xml:space="preserve"> ADDIN ZOTERO_ITEM CSL_CITATION {"citationID":"JacqhGzJ","properties":{"formattedCitation":"(Esp\\uc0\\u237{} Hern\\uc0\\u225{}ndez, 2021)","plainCitation":"(Espí Hernández, 2021)","dontUpdate":true,"noteIndex":0},"citationItems":[{"id":186,"uris":["http://zotero.org/users/10325949/items/RQELKHLP"],"itemData":{"id":186,"type":"document","language":"Español","publisher":"FCS-Udelar","title":"Uruguay: el país que supo reducir la desigualdad y la pobreza. Un análisis de su desarrollo social bajo el enfoque de los ODS 1, 5 y 10.","author":[{"family":"Espí Hernández","given":""}],"issued":{"date-parts":[["2021"]]}}}],"schema":"https://github.com/citation-style-language/schema/raw/master/csl-citation.json"} </w:instrText>
      </w:r>
      <w:r w:rsidR="00627955">
        <w:rPr>
          <w:rFonts w:ascii="Times New Roman" w:eastAsia="Times New Roman" w:hAnsi="Times New Roman" w:cs="Times New Roman"/>
          <w:color w:val="000000"/>
          <w:lang w:eastAsia="es-UY"/>
        </w:rPr>
        <w:fldChar w:fldCharType="separate"/>
      </w:r>
      <w:r w:rsidR="00627955" w:rsidRPr="00627955">
        <w:rPr>
          <w:rFonts w:ascii="Times New Roman" w:hAnsi="Times New Roman" w:cs="Times New Roman"/>
          <w:szCs w:val="24"/>
        </w:rPr>
        <w:t>Espí Hernández</w:t>
      </w:r>
      <w:r w:rsidR="00627955">
        <w:rPr>
          <w:rFonts w:ascii="Times New Roman" w:hAnsi="Times New Roman" w:cs="Times New Roman"/>
          <w:szCs w:val="24"/>
        </w:rPr>
        <w:t xml:space="preserve"> (</w:t>
      </w:r>
      <w:r w:rsidR="00627955" w:rsidRPr="00627955">
        <w:rPr>
          <w:rFonts w:ascii="Times New Roman" w:hAnsi="Times New Roman" w:cs="Times New Roman"/>
          <w:szCs w:val="24"/>
        </w:rPr>
        <w:t>2021)</w:t>
      </w:r>
      <w:r w:rsidR="00627955">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“el marco institucional de Uruguay se ha caracterizado por implementar numerosos programas sociales de cobertura amplia que han contribuido a sacar de la pobreza a miles de compatriotas, así como a proteger los derechos y libertades de su ciudadanía, cuidando especialmente a las minorías y sectores vulnerables” (p. 67).</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No obstante, en este trabajo se plantea que esta idea puede ser puesta en discusión, en tanto Uruguay se comporta de manera muy similar a la región en algunos asuntos de crucial importancia, sobre todo al tener en cuenta algunas dimensiones que quizás son menos utilizadas. Por tanto, también teniendo en cuenta el aporte de</w:t>
      </w:r>
      <w:r w:rsidR="00627955">
        <w:rPr>
          <w:rFonts w:ascii="Times New Roman" w:eastAsia="Times New Roman" w:hAnsi="Times New Roman" w:cs="Times New Roman"/>
          <w:color w:val="000000"/>
          <w:lang w:eastAsia="es-UY"/>
        </w:rPr>
        <w:t xml:space="preserve"> </w:t>
      </w:r>
      <w:r w:rsidR="00627955">
        <w:rPr>
          <w:rFonts w:ascii="Times New Roman" w:eastAsia="Times New Roman" w:hAnsi="Times New Roman" w:cs="Times New Roman"/>
          <w:color w:val="000000"/>
          <w:lang w:eastAsia="es-UY"/>
        </w:rPr>
        <w:fldChar w:fldCharType="begin"/>
      </w:r>
      <w:r w:rsidR="00B94A0A">
        <w:rPr>
          <w:rFonts w:ascii="Times New Roman" w:eastAsia="Times New Roman" w:hAnsi="Times New Roman" w:cs="Times New Roman"/>
          <w:color w:val="000000"/>
          <w:lang w:eastAsia="es-UY"/>
        </w:rPr>
        <w:instrText xml:space="preserve"> ADDIN ZOTERO_ITEM CSL_CITATION {"citationID":"css9cnUD","properties":{"formattedCitation":"(Men\\uc0\\u233{}ndez-Carri\\uc0\\u243{}n, 2019)","plainCitation":"(Menéndez-Carrión, 2019)","dontUpdate":true,"noteIndex":0},"citationItems":[{"id":187,"uris":["http://zotero.org/users/10325949/items/V5TICUVL"],"itemData":{"id":187,"type":"article-journal","container-title":"Revista de Ciencias Sociales","DOI":"10.26489/rvs.v32i44.6","ISSN":"16884981","issue":"47","journalAbbreviation":"RCS","source":"DOI.org (Crossref)","title":"Revisitando un outlier El domicilio insospechado de la excepcionalidad uruguaya","URL":"https://rcs.cienciassociales.edu.uy/index.php/rcs/article/view/18","volume":"33","author":[{"family":"Menéndez-Carrión","given":"Amparo"}],"accessed":{"date-parts":[["2022",11,29]]},"issued":{"date-parts":[["2019"]]}}}],"schema":"https://github.com/citation-style-language/schema/raw/master/csl-citation.json"} </w:instrText>
      </w:r>
      <w:r w:rsidR="00627955">
        <w:rPr>
          <w:rFonts w:ascii="Times New Roman" w:eastAsia="Times New Roman" w:hAnsi="Times New Roman" w:cs="Times New Roman"/>
          <w:color w:val="000000"/>
          <w:lang w:eastAsia="es-UY"/>
        </w:rPr>
        <w:fldChar w:fldCharType="separate"/>
      </w:r>
      <w:r w:rsidR="00627955" w:rsidRPr="00627955">
        <w:rPr>
          <w:rFonts w:ascii="Times New Roman" w:hAnsi="Times New Roman" w:cs="Times New Roman"/>
          <w:szCs w:val="24"/>
        </w:rPr>
        <w:t>Menéndez-Carrión</w:t>
      </w:r>
      <w:r w:rsidR="00627955">
        <w:rPr>
          <w:rFonts w:ascii="Times New Roman" w:hAnsi="Times New Roman" w:cs="Times New Roman"/>
          <w:szCs w:val="24"/>
        </w:rPr>
        <w:t xml:space="preserve"> (</w:t>
      </w:r>
      <w:r w:rsidR="00627955" w:rsidRPr="00627955">
        <w:rPr>
          <w:rFonts w:ascii="Times New Roman" w:hAnsi="Times New Roman" w:cs="Times New Roman"/>
          <w:szCs w:val="24"/>
        </w:rPr>
        <w:t>2019)</w:t>
      </w:r>
      <w:r w:rsidR="00627955">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que señala que muchos de los “fragmentos de experiencia” que dieron lugar a la idea de la excepcionalidad uruguaya remiten al pasado, resulta especialmente importante la siguiente pregunta: </w:t>
      </w:r>
      <w:r w:rsidRPr="000D2C17">
        <w:rPr>
          <w:rFonts w:ascii="Times New Roman" w:eastAsia="Times New Roman" w:hAnsi="Times New Roman" w:cs="Times New Roman"/>
          <w:i/>
          <w:iCs/>
          <w:color w:val="000000"/>
          <w:lang w:eastAsia="es-UY"/>
        </w:rPr>
        <w:t>¿Que vigencia tiene esa idea de la excepcionalidad nacional?</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Para comenzar, cabe destacar que algunos de los indicadores relacionados con la calidad educativa y el gasto en esta materia resultan inquietantes. Los datos de gasto público en educación (cómo porcentaje del PIB) que proporciona la CEPAL para el año 2018, muestran que Uruguay está por debajo de Chile, Bolivia y Costa Rica, mostrando un dato de gasto similar al de Ecuador, en el orden del 4,5% del PIB. Esto lo coloca a mitad de tabla, y muestra el rezago de Uruguay en una tendencia global de destinar mayor presupuesto al área educativa. </w:t>
      </w:r>
      <w:r w:rsidR="00627955" w:rsidRPr="000D2C17">
        <w:rPr>
          <w:rFonts w:ascii="Times New Roman" w:eastAsia="Times New Roman" w:hAnsi="Times New Roman" w:cs="Times New Roman"/>
          <w:color w:val="000000"/>
          <w:lang w:eastAsia="es-UY"/>
        </w:rPr>
        <w:t>Además,</w:t>
      </w:r>
      <w:r w:rsidRPr="000D2C17">
        <w:rPr>
          <w:rFonts w:ascii="Times New Roman" w:eastAsia="Times New Roman" w:hAnsi="Times New Roman" w:cs="Times New Roman"/>
          <w:color w:val="000000"/>
          <w:lang w:eastAsia="es-UY"/>
        </w:rPr>
        <w:t xml:space="preserve"> si observamos la deserción estudiantil se manifiesta otro panorama </w:t>
      </w:r>
      <w:r w:rsidR="00C90FC2">
        <w:rPr>
          <w:rFonts w:ascii="Times New Roman" w:eastAsia="Times New Roman" w:hAnsi="Times New Roman" w:cs="Times New Roman"/>
          <w:color w:val="000000"/>
          <w:lang w:eastAsia="es-UY"/>
        </w:rPr>
        <w:t xml:space="preserve">aún más </w:t>
      </w:r>
      <w:r w:rsidRPr="000D2C17">
        <w:rPr>
          <w:rFonts w:ascii="Times New Roman" w:eastAsia="Times New Roman" w:hAnsi="Times New Roman" w:cs="Times New Roman"/>
          <w:color w:val="000000"/>
          <w:lang w:eastAsia="es-UY"/>
        </w:rPr>
        <w:t>complejo: En 2019, el porcentaje de población entre 18 y 24 años con secundaria completa era de poco más del 40%, cifra que coloca a Uruguay por debajo de países cómo Paraguay o Brasil, y muy por debajo del promedio de la región</w:t>
      </w:r>
      <w:r w:rsidR="00824D04">
        <w:rPr>
          <w:rFonts w:ascii="Times New Roman" w:eastAsia="Times New Roman" w:hAnsi="Times New Roman" w:cs="Times New Roman"/>
          <w:color w:val="000000"/>
          <w:lang w:eastAsia="es-UY"/>
        </w:rPr>
        <w:t xml:space="preserve"> (ver Gráfico 1)</w:t>
      </w:r>
      <w:r w:rsidRPr="000D2C17">
        <w:rPr>
          <w:rFonts w:ascii="Times New Roman" w:eastAsia="Times New Roman" w:hAnsi="Times New Roman" w:cs="Times New Roman"/>
          <w:color w:val="000000"/>
          <w:lang w:eastAsia="es-UY"/>
        </w:rPr>
        <w:t>.</w:t>
      </w:r>
    </w:p>
    <w:p w:rsidR="00824D04" w:rsidRPr="00824D04" w:rsidRDefault="00824D04" w:rsidP="00D825D0">
      <w:pPr>
        <w:spacing w:after="0" w:line="360" w:lineRule="auto"/>
        <w:ind w:firstLine="340"/>
        <w:jc w:val="center"/>
        <w:rPr>
          <w:rFonts w:ascii="Times New Roman" w:eastAsia="Times New Roman" w:hAnsi="Times New Roman" w:cs="Times New Roman"/>
          <w:color w:val="000000"/>
          <w:sz w:val="18"/>
          <w:szCs w:val="18"/>
          <w:lang w:eastAsia="es-UY"/>
        </w:rPr>
      </w:pPr>
      <w:r w:rsidRPr="00824D04">
        <w:rPr>
          <w:noProof/>
          <w:sz w:val="18"/>
          <w:szCs w:val="18"/>
        </w:rPr>
        <w:lastRenderedPageBreak/>
        <w:drawing>
          <wp:anchor distT="0" distB="0" distL="114300" distR="114300" simplePos="0" relativeHeight="251663360" behindDoc="0" locked="0" layoutInCell="1" allowOverlap="1">
            <wp:simplePos x="0" y="0"/>
            <wp:positionH relativeFrom="column">
              <wp:posOffset>557530</wp:posOffset>
            </wp:positionH>
            <wp:positionV relativeFrom="paragraph">
              <wp:posOffset>0</wp:posOffset>
            </wp:positionV>
            <wp:extent cx="4238625" cy="2555240"/>
            <wp:effectExtent l="38100" t="38100" r="47625" b="3556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8625" cy="2555240"/>
                    </a:xfrm>
                    <a:prstGeom prst="rect">
                      <a:avLst/>
                    </a:prstGeom>
                    <a:noFill/>
                    <a:ln w="38100">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Pr="00824D04">
        <w:rPr>
          <w:rFonts w:ascii="Times New Roman" w:eastAsia="Times New Roman" w:hAnsi="Times New Roman" w:cs="Times New Roman"/>
          <w:color w:val="000000"/>
          <w:sz w:val="18"/>
          <w:szCs w:val="18"/>
          <w:lang w:eastAsia="es-UY"/>
        </w:rPr>
        <w:t>Gr</w:t>
      </w:r>
      <w:r>
        <w:rPr>
          <w:rFonts w:ascii="Times New Roman" w:eastAsia="Times New Roman" w:hAnsi="Times New Roman" w:cs="Times New Roman"/>
          <w:color w:val="000000"/>
          <w:sz w:val="18"/>
          <w:szCs w:val="18"/>
          <w:lang w:eastAsia="es-UY"/>
        </w:rPr>
        <w:t xml:space="preserve">áfico 1. </w:t>
      </w:r>
      <w:r w:rsidRPr="00824D04">
        <w:rPr>
          <w:rFonts w:ascii="Times New Roman" w:eastAsia="Times New Roman" w:hAnsi="Times New Roman" w:cs="Times New Roman"/>
          <w:color w:val="000000"/>
          <w:sz w:val="18"/>
          <w:szCs w:val="18"/>
          <w:lang w:eastAsia="es-UY"/>
        </w:rPr>
        <w:t>Porcentaje de la población entre 18 y 24 años con secundaria completa.</w:t>
      </w:r>
      <w:r>
        <w:rPr>
          <w:rFonts w:ascii="Times New Roman" w:eastAsia="Times New Roman" w:hAnsi="Times New Roman" w:cs="Times New Roman"/>
          <w:color w:val="000000"/>
          <w:sz w:val="18"/>
          <w:szCs w:val="18"/>
          <w:lang w:eastAsia="es-UY"/>
        </w:rPr>
        <w:t xml:space="preserve"> </w:t>
      </w:r>
      <w:r w:rsidRPr="00824D04">
        <w:rPr>
          <w:rFonts w:ascii="Times New Roman" w:eastAsia="Times New Roman" w:hAnsi="Times New Roman" w:cs="Times New Roman"/>
          <w:color w:val="000000"/>
          <w:sz w:val="18"/>
          <w:szCs w:val="18"/>
          <w:lang w:eastAsia="es-UY"/>
        </w:rPr>
        <w:t>CEPAL (2019)</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Otra importante área que debe ser analizada es la relacionada con la inseguridad, la violencia y el sistema de justicia. Por parte de la población, se han evidenciado importantes problemas en cuanto a seguridad pública, teniendo en cuenta que cerca de la mitad de la población (en 2019) consideraba a este asunto cómo el principal problema del país. Además, se ha observado un deterioro en los niveles de seguridad pública, que ha impactado fuertemente en la valoración de los gobiernos recientes</w:t>
      </w:r>
      <w:r w:rsidR="00627955">
        <w:rPr>
          <w:rFonts w:ascii="Times New Roman" w:eastAsia="Times New Roman" w:hAnsi="Times New Roman" w:cs="Times New Roman"/>
          <w:color w:val="000000"/>
          <w:lang w:eastAsia="es-UY"/>
        </w:rPr>
        <w:t xml:space="preserve"> </w:t>
      </w:r>
      <w:r w:rsidR="00627955">
        <w:rPr>
          <w:rFonts w:ascii="Times New Roman" w:eastAsia="Times New Roman" w:hAnsi="Times New Roman" w:cs="Times New Roman"/>
          <w:color w:val="000000"/>
          <w:lang w:eastAsia="es-UY"/>
        </w:rPr>
        <w:fldChar w:fldCharType="begin"/>
      </w:r>
      <w:r w:rsidR="00627955">
        <w:rPr>
          <w:rFonts w:ascii="Times New Roman" w:eastAsia="Times New Roman" w:hAnsi="Times New Roman" w:cs="Times New Roman"/>
          <w:color w:val="000000"/>
          <w:lang w:eastAsia="es-UY"/>
        </w:rPr>
        <w:instrText xml:space="preserve"> ADDIN ZOTERO_ITEM CSL_CITATION {"citationID":"LUnKVcIp","properties":{"formattedCitation":"(Nocetto et\\uc0\\u160{}al., 2020)","plainCitation":"(Nocetto et al., 2020)","noteIndex":0},"citationItems":[{"id":188,"uris":["http://zotero.org/users/10325949/items/PEWSQFBF"],"itemData":{"id":188,"type":"article-journal","container-title":"Revista de ciencia política (Santiago)","DOI":"10.4067/S0718-090X2020005000117","ISSN":"0718-090X","issue":"ahead","journalAbbreviation":"Rev. cienc. polít. (Santiago)","language":"en","page":"0-0","source":"DOI.org (Crossref)","title":"Uruguay 2019: Fin del ciclo progresista y reestructura del sistema de partidos","title-short":"Uruguay 2019","author":[{"family":"Nocetto","given":"Lihuen"},{"family":"Piñeiro","given":"Rafael"},{"family":"Rosenblatt","given":"Fernando"}],"issued":{"date-parts":[["2020"]]}}}],"schema":"https://github.com/citation-style-language/schema/raw/master/csl-citation.json"} </w:instrText>
      </w:r>
      <w:r w:rsidR="00627955">
        <w:rPr>
          <w:rFonts w:ascii="Times New Roman" w:eastAsia="Times New Roman" w:hAnsi="Times New Roman" w:cs="Times New Roman"/>
          <w:color w:val="000000"/>
          <w:lang w:eastAsia="es-UY"/>
        </w:rPr>
        <w:fldChar w:fldCharType="separate"/>
      </w:r>
      <w:r w:rsidR="00627955" w:rsidRPr="00627955">
        <w:rPr>
          <w:rFonts w:ascii="Times New Roman" w:hAnsi="Times New Roman" w:cs="Times New Roman"/>
          <w:szCs w:val="24"/>
        </w:rPr>
        <w:t>(Nocetto et al., 2020)</w:t>
      </w:r>
      <w:r w:rsidR="00627955">
        <w:rPr>
          <w:rFonts w:ascii="Times New Roman" w:eastAsia="Times New Roman" w:hAnsi="Times New Roman" w:cs="Times New Roman"/>
          <w:color w:val="000000"/>
          <w:lang w:eastAsia="es-UY"/>
        </w:rPr>
        <w:fldChar w:fldCharType="end"/>
      </w:r>
      <w:r w:rsidR="00627955">
        <w:rPr>
          <w:rFonts w:ascii="Times New Roman" w:eastAsia="Times New Roman" w:hAnsi="Times New Roman" w:cs="Times New Roman"/>
          <w:color w:val="000000"/>
          <w:lang w:eastAsia="es-UY"/>
        </w:rPr>
        <w:t>.</w:t>
      </w:r>
    </w:p>
    <w:p w:rsidR="000D2C17" w:rsidRPr="000D2C17" w:rsidRDefault="00824D04"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single" w:sz="18" w:space="0" w:color="000000" w:frame="1"/>
          <w:lang w:eastAsia="es-UY"/>
        </w:rPr>
        <w:drawing>
          <wp:anchor distT="0" distB="0" distL="114300" distR="114300" simplePos="0" relativeHeight="251664384" behindDoc="0" locked="0" layoutInCell="1" allowOverlap="1">
            <wp:simplePos x="0" y="0"/>
            <wp:positionH relativeFrom="margin">
              <wp:align>center</wp:align>
            </wp:positionH>
            <wp:positionV relativeFrom="paragraph">
              <wp:posOffset>1705610</wp:posOffset>
            </wp:positionV>
            <wp:extent cx="4324350" cy="2514600"/>
            <wp:effectExtent l="38100" t="38100" r="38100" b="3810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4350" cy="2514600"/>
                    </a:xfrm>
                    <a:prstGeom prst="rect">
                      <a:avLst/>
                    </a:prstGeom>
                    <a:noFill/>
                    <a:ln w="38100">
                      <a:solidFill>
                        <a:schemeClr val="bg2">
                          <a:lumMod val="50000"/>
                        </a:schemeClr>
                      </a:solidFill>
                    </a:ln>
                  </pic:spPr>
                </pic:pic>
              </a:graphicData>
            </a:graphic>
          </wp:anchor>
        </w:drawing>
      </w:r>
      <w:r w:rsidR="000D2C17" w:rsidRPr="000D2C17">
        <w:rPr>
          <w:rFonts w:ascii="Times New Roman" w:eastAsia="Times New Roman" w:hAnsi="Times New Roman" w:cs="Times New Roman"/>
          <w:color w:val="000000"/>
          <w:lang w:eastAsia="es-UY"/>
        </w:rPr>
        <w:t>Si nos centramos en la tasa de homicidios cada 100 mil habitantes (Gráfico 2), Uruguay supera los 10 homicidios. Esto lo coloca a mitad de tabla en relación con Latinoamérica, con guarismos superiores a países como Perú, Ecuador</w:t>
      </w:r>
      <w:r>
        <w:rPr>
          <w:rFonts w:ascii="Times New Roman" w:eastAsia="Times New Roman" w:hAnsi="Times New Roman" w:cs="Times New Roman"/>
          <w:color w:val="000000"/>
          <w:lang w:eastAsia="es-UY"/>
        </w:rPr>
        <w:t>, Bolivia</w:t>
      </w:r>
      <w:r w:rsidR="000D2C17" w:rsidRPr="000D2C17">
        <w:rPr>
          <w:rFonts w:ascii="Times New Roman" w:eastAsia="Times New Roman" w:hAnsi="Times New Roman" w:cs="Times New Roman"/>
          <w:color w:val="000000"/>
          <w:lang w:eastAsia="es-UY"/>
        </w:rPr>
        <w:t xml:space="preserve"> o Argentina. A su vez, el sistema carcelario presenta muy serias deficiencias. Según el World Justice Project, Uruguay alcanza un índice de casi 0,30 (entre 0 y 1) de efectividad del sistema correccional al momento de reducir la criminalidad. Por ello, al compararlo con la región Uruguay es superado por varios países, como Chile, Costa Rica o Argentina.</w:t>
      </w:r>
    </w:p>
    <w:p w:rsidR="000D2C17" w:rsidRPr="000D2C17" w:rsidRDefault="00824D04" w:rsidP="00D825D0">
      <w:pPr>
        <w:spacing w:after="0" w:line="360" w:lineRule="auto"/>
        <w:ind w:firstLine="340"/>
        <w:jc w:val="center"/>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18"/>
          <w:szCs w:val="18"/>
          <w:lang w:eastAsia="es-UY"/>
        </w:rPr>
        <w:t>G</w:t>
      </w:r>
      <w:r w:rsidR="000D2C17" w:rsidRPr="000D2C17">
        <w:rPr>
          <w:rFonts w:ascii="Times New Roman" w:eastAsia="Times New Roman" w:hAnsi="Times New Roman" w:cs="Times New Roman"/>
          <w:color w:val="000000"/>
          <w:sz w:val="18"/>
          <w:szCs w:val="18"/>
          <w:lang w:eastAsia="es-UY"/>
        </w:rPr>
        <w:t>ráfico 2. Tasa de homicidios cada 100 mil habitantes. CEPAL (2018).</w:t>
      </w:r>
    </w:p>
    <w:p w:rsidR="000D2C17" w:rsidRDefault="000D2C17" w:rsidP="00D825D0">
      <w:pPr>
        <w:spacing w:after="0" w:line="360" w:lineRule="auto"/>
        <w:ind w:firstLine="340"/>
        <w:jc w:val="both"/>
        <w:rPr>
          <w:rFonts w:ascii="Times New Roman" w:eastAsia="Times New Roman" w:hAnsi="Times New Roman" w:cs="Times New Roman"/>
          <w:color w:val="000000"/>
          <w:lang w:eastAsia="es-UY"/>
        </w:rPr>
      </w:pPr>
      <w:r w:rsidRPr="000D2C17">
        <w:rPr>
          <w:rFonts w:ascii="Times New Roman" w:eastAsia="Times New Roman" w:hAnsi="Times New Roman" w:cs="Times New Roman"/>
          <w:color w:val="000000"/>
          <w:lang w:eastAsia="es-UY"/>
        </w:rPr>
        <w:lastRenderedPageBreak/>
        <w:t>En el mismo sentido se puede argumentar con relación al sector de la salud mental, un tema que ha ganado relevancia en épocas recientes. Para muchas personas, e incluso autoridades estatales, algunos de los hospitales psiquiátricos públicos son decepcionantes y funcionan con los mínimos recursos. En este contexto, la marginación y la concentración masiva de enfermos mentales se ha traducido en un profundo proceso de degradación de las condiciones de asistencia y del respeto por la dignidad de los pacientes</w:t>
      </w:r>
      <w:r w:rsidR="00260355">
        <w:rPr>
          <w:rFonts w:ascii="Times New Roman" w:eastAsia="Times New Roman" w:hAnsi="Times New Roman" w:cs="Times New Roman"/>
          <w:color w:val="000000"/>
          <w:lang w:eastAsia="es-UY"/>
        </w:rPr>
        <w:t xml:space="preserve"> </w:t>
      </w:r>
      <w:r w:rsidR="00260355">
        <w:rPr>
          <w:rFonts w:ascii="Times New Roman" w:eastAsia="Times New Roman" w:hAnsi="Times New Roman" w:cs="Times New Roman"/>
          <w:color w:val="000000"/>
          <w:lang w:eastAsia="es-UY"/>
        </w:rPr>
        <w:fldChar w:fldCharType="begin"/>
      </w:r>
      <w:r w:rsidR="00260355">
        <w:rPr>
          <w:rFonts w:ascii="Times New Roman" w:eastAsia="Times New Roman" w:hAnsi="Times New Roman" w:cs="Times New Roman"/>
          <w:color w:val="000000"/>
          <w:lang w:eastAsia="es-UY"/>
        </w:rPr>
        <w:instrText xml:space="preserve"> ADDIN ZOTERO_ITEM CSL_CITATION {"citationID":"O1wbvk5x","properties":{"formattedCitation":"(De Le\\uc0\\u243{}n, 2013)","plainCitation":"(De León, 2013)","noteIndex":0},"citationItems":[{"id":190,"uris":["http://zotero.org/users/10325949/items/ZA956I8Z"],"itemData":{"id":190,"type":"book","publisher":"Udelar-CSIC","title":"Salud mental en debate : pasado, presente y futuro de las politicas en salud mental","author":[{"family":"De León","given":"Nelson"}],"issued":{"date-parts":[["2013"]]}}}],"schema":"https://github.com/citation-style-language/schema/raw/master/csl-citation.json"} </w:instrText>
      </w:r>
      <w:r w:rsidR="00260355">
        <w:rPr>
          <w:rFonts w:ascii="Times New Roman" w:eastAsia="Times New Roman" w:hAnsi="Times New Roman" w:cs="Times New Roman"/>
          <w:color w:val="000000"/>
          <w:lang w:eastAsia="es-UY"/>
        </w:rPr>
        <w:fldChar w:fldCharType="separate"/>
      </w:r>
      <w:r w:rsidR="00260355" w:rsidRPr="00260355">
        <w:rPr>
          <w:rFonts w:ascii="Times New Roman" w:hAnsi="Times New Roman" w:cs="Times New Roman"/>
          <w:szCs w:val="24"/>
        </w:rPr>
        <w:t>(De León, 2013)</w:t>
      </w:r>
      <w:r w:rsidR="00260355">
        <w:rPr>
          <w:rFonts w:ascii="Times New Roman" w:eastAsia="Times New Roman" w:hAnsi="Times New Roman" w:cs="Times New Roman"/>
          <w:color w:val="000000"/>
          <w:lang w:eastAsia="es-UY"/>
        </w:rPr>
        <w:fldChar w:fldCharType="end"/>
      </w:r>
      <w:r w:rsidR="00260355">
        <w:rPr>
          <w:rFonts w:ascii="Times New Roman" w:eastAsia="Times New Roman" w:hAnsi="Times New Roman" w:cs="Times New Roman"/>
          <w:color w:val="000000"/>
          <w:lang w:eastAsia="es-UY"/>
        </w:rPr>
        <w:t>.</w:t>
      </w:r>
      <w:r w:rsidR="00824D04">
        <w:rPr>
          <w:rFonts w:ascii="Times New Roman" w:eastAsia="Times New Roman" w:hAnsi="Times New Roman" w:cs="Times New Roman"/>
          <w:color w:val="000000"/>
          <w:lang w:eastAsia="es-UY"/>
        </w:rPr>
        <w:t xml:space="preserve"> Si se observan los datos de la CEPAL para el año 2019 (Gráfico 3), l</w:t>
      </w:r>
      <w:r w:rsidRPr="000D2C17">
        <w:rPr>
          <w:rFonts w:ascii="Times New Roman" w:eastAsia="Times New Roman" w:hAnsi="Times New Roman" w:cs="Times New Roman"/>
          <w:color w:val="000000"/>
          <w:lang w:eastAsia="es-UY"/>
        </w:rPr>
        <w:t>a diferencia entre Uruguay y la región en cuanto a la tasa de suicidios cada 100 mil habitantes es realmente alarmante. A simple vista, Uruguay prácticamente duplica el dato de Chile y de Argentina, a la vez que una muy importante brecha lo separa del promedio de América Latina (más de un 15% de diferencia).</w:t>
      </w:r>
      <w:r w:rsidR="00260355">
        <w:rPr>
          <w:rFonts w:ascii="Times New Roman" w:eastAsia="Times New Roman" w:hAnsi="Times New Roman" w:cs="Times New Roman"/>
          <w:color w:val="000000"/>
          <w:lang w:eastAsia="es-UY"/>
        </w:rPr>
        <w:t xml:space="preserve"> </w:t>
      </w:r>
      <w:r w:rsidR="00260355">
        <w:rPr>
          <w:rFonts w:ascii="Times New Roman" w:eastAsia="Times New Roman" w:hAnsi="Times New Roman" w:cs="Times New Roman"/>
          <w:color w:val="000000"/>
          <w:lang w:eastAsia="es-UY"/>
        </w:rPr>
        <w:fldChar w:fldCharType="begin"/>
      </w:r>
      <w:r w:rsidR="00B94A0A">
        <w:rPr>
          <w:rFonts w:ascii="Times New Roman" w:eastAsia="Times New Roman" w:hAnsi="Times New Roman" w:cs="Times New Roman"/>
          <w:color w:val="000000"/>
          <w:lang w:eastAsia="es-UY"/>
        </w:rPr>
        <w:instrText xml:space="preserve"> ADDIN ZOTERO_ITEM CSL_CITATION {"citationID":"FT9n84kP","properties":{"formattedCitation":"(Montes, 2019)","plainCitation":"(Montes, 2019)","dontUpdate":true,"noteIndex":0},"citationItems":[{"id":191,"uris":["http://zotero.org/users/10325949/items/X7NB9XII"],"itemData":{"id":191,"type":"thesis","genre":"Tesis de grado","publisher":"Universidad de la República","title":"Suicidio: el caso de Uruguay","author":[{"family":"Montes","given":"Victoria"}],"issued":{"date-parts":[["2019"]]}}}],"schema":"https://github.com/citation-style-language/schema/raw/master/csl-citation.json"} </w:instrText>
      </w:r>
      <w:r w:rsidR="00260355">
        <w:rPr>
          <w:rFonts w:ascii="Times New Roman" w:eastAsia="Times New Roman" w:hAnsi="Times New Roman" w:cs="Times New Roman"/>
          <w:color w:val="000000"/>
          <w:lang w:eastAsia="es-UY"/>
        </w:rPr>
        <w:fldChar w:fldCharType="separate"/>
      </w:r>
      <w:r w:rsidR="00260355" w:rsidRPr="00260355">
        <w:rPr>
          <w:rFonts w:ascii="Times New Roman" w:hAnsi="Times New Roman" w:cs="Times New Roman"/>
        </w:rPr>
        <w:t xml:space="preserve">Montes </w:t>
      </w:r>
      <w:r w:rsidR="00260355">
        <w:rPr>
          <w:rFonts w:ascii="Times New Roman" w:hAnsi="Times New Roman" w:cs="Times New Roman"/>
        </w:rPr>
        <w:t>(</w:t>
      </w:r>
      <w:r w:rsidR="00260355" w:rsidRPr="00260355">
        <w:rPr>
          <w:rFonts w:ascii="Times New Roman" w:hAnsi="Times New Roman" w:cs="Times New Roman"/>
        </w:rPr>
        <w:t>2019)</w:t>
      </w:r>
      <w:r w:rsidR="00260355">
        <w:rPr>
          <w:rFonts w:ascii="Times New Roman" w:eastAsia="Times New Roman" w:hAnsi="Times New Roman" w:cs="Times New Roman"/>
          <w:color w:val="000000"/>
          <w:lang w:eastAsia="es-UY"/>
        </w:rPr>
        <w:fldChar w:fldCharType="end"/>
      </w:r>
      <w:r w:rsidR="00260355">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que releva los datos oficiales, señala que los principales grupos de riesgo son mayores de 70 años, las mujeres, y los habitantes del interior, siendo el método utilizado el ahorcamiento.</w:t>
      </w:r>
    </w:p>
    <w:p w:rsidR="00824D04" w:rsidRPr="000D2C17" w:rsidRDefault="00824D04" w:rsidP="00D825D0">
      <w:pPr>
        <w:spacing w:after="0" w:line="360" w:lineRule="auto"/>
        <w:ind w:firstLine="340"/>
        <w:jc w:val="center"/>
        <w:rPr>
          <w:rFonts w:ascii="Times New Roman" w:eastAsia="Times New Roman" w:hAnsi="Times New Roman" w:cs="Times New Roman"/>
          <w:color w:val="000000"/>
          <w:sz w:val="18"/>
          <w:szCs w:val="18"/>
          <w:lang w:eastAsia="es-UY"/>
        </w:rPr>
      </w:pPr>
      <w:r w:rsidRPr="000D2C17">
        <w:rPr>
          <w:rFonts w:ascii="Times New Roman" w:eastAsia="Times New Roman" w:hAnsi="Times New Roman" w:cs="Times New Roman"/>
          <w:noProof/>
          <w:color w:val="000000"/>
          <w:bdr w:val="single" w:sz="18" w:space="0" w:color="000000" w:frame="1"/>
          <w:lang w:eastAsia="es-UY"/>
        </w:rPr>
        <w:drawing>
          <wp:anchor distT="0" distB="0" distL="114300" distR="114300" simplePos="0" relativeHeight="251666432" behindDoc="0" locked="0" layoutInCell="1" allowOverlap="1" wp14:anchorId="231895A0" wp14:editId="0130DE1D">
            <wp:simplePos x="0" y="0"/>
            <wp:positionH relativeFrom="margin">
              <wp:posOffset>766445</wp:posOffset>
            </wp:positionH>
            <wp:positionV relativeFrom="paragraph">
              <wp:posOffset>38100</wp:posOffset>
            </wp:positionV>
            <wp:extent cx="3876549" cy="2295525"/>
            <wp:effectExtent l="38100" t="38100" r="29210" b="2857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6549" cy="2295525"/>
                    </a:xfrm>
                    <a:prstGeom prst="rect">
                      <a:avLst/>
                    </a:prstGeom>
                    <a:noFill/>
                    <a:ln w="38100">
                      <a:solidFill>
                        <a:schemeClr val="bg2">
                          <a:lumMod val="50000"/>
                        </a:schemeClr>
                      </a:solidFill>
                    </a:ln>
                  </pic:spPr>
                </pic:pic>
              </a:graphicData>
            </a:graphic>
          </wp:anchor>
        </w:drawing>
      </w:r>
      <w:r w:rsidRPr="000D2C17">
        <w:rPr>
          <w:rFonts w:ascii="Times New Roman" w:eastAsia="Times New Roman" w:hAnsi="Times New Roman" w:cs="Times New Roman"/>
          <w:color w:val="000000"/>
          <w:sz w:val="18"/>
          <w:szCs w:val="18"/>
          <w:lang w:eastAsia="es-UY"/>
        </w:rPr>
        <w:t xml:space="preserve">Gráfico </w:t>
      </w:r>
      <w:r>
        <w:rPr>
          <w:rFonts w:ascii="Times New Roman" w:eastAsia="Times New Roman" w:hAnsi="Times New Roman" w:cs="Times New Roman"/>
          <w:color w:val="000000"/>
          <w:sz w:val="18"/>
          <w:szCs w:val="18"/>
          <w:lang w:eastAsia="es-UY"/>
        </w:rPr>
        <w:t>3</w:t>
      </w:r>
      <w:r w:rsidRPr="000D2C17">
        <w:rPr>
          <w:rFonts w:ascii="Times New Roman" w:eastAsia="Times New Roman" w:hAnsi="Times New Roman" w:cs="Times New Roman"/>
          <w:color w:val="000000"/>
          <w:sz w:val="18"/>
          <w:szCs w:val="18"/>
          <w:lang w:eastAsia="es-UY"/>
        </w:rPr>
        <w:t>. Tasa de suicidios cada 100 mil habitantes. CEPAL (2019).</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Un cuarto sector en el que Uruguay tiene resultados muy negativos a nivel regional tiene que ver con la promoción de la protección medioambiental por parte del Estado uruguayo. Según </w:t>
      </w:r>
      <w:r w:rsidR="00260355">
        <w:rPr>
          <w:rFonts w:ascii="Times New Roman" w:eastAsia="Times New Roman" w:hAnsi="Times New Roman" w:cs="Times New Roman"/>
          <w:color w:val="000000"/>
          <w:lang w:eastAsia="es-UY"/>
        </w:rPr>
        <w:fldChar w:fldCharType="begin"/>
      </w:r>
      <w:r w:rsidR="00B94A0A">
        <w:rPr>
          <w:rFonts w:ascii="Times New Roman" w:eastAsia="Times New Roman" w:hAnsi="Times New Roman" w:cs="Times New Roman"/>
          <w:color w:val="000000"/>
          <w:lang w:eastAsia="es-UY"/>
        </w:rPr>
        <w:instrText xml:space="preserve"> ADDIN ZOTERO_ITEM CSL_CITATION {"citationID":"gpSVHj6V","properties":{"formattedCitation":"(Freigedo, 2008)","plainCitation":"(Freigedo, 2008)","dontUpdate":true,"noteIndex":0},"citationItems":[{"id":192,"uris":["http://zotero.org/users/10325949/items/3PTW4IWZ"],"itemData":{"id":192,"type":"thesis","event-place":"Montevideo, Uruguay","genre":"Tesis de grado","language":"Español","publisher":"Universidad de la República","publisher-place":"Montevideo, Uruguay","title":"Las políticas públicas ambientalistas en el área metropolitana de Montevideo (1985/2008)","author":[{"family":"Freigedo","given":"Martín"}],"issued":{"date-parts":[["2008"]]}}}],"schema":"https://github.com/citation-style-language/schema/raw/master/csl-citation.json"} </w:instrText>
      </w:r>
      <w:r w:rsidR="00260355">
        <w:rPr>
          <w:rFonts w:ascii="Times New Roman" w:eastAsia="Times New Roman" w:hAnsi="Times New Roman" w:cs="Times New Roman"/>
          <w:color w:val="000000"/>
          <w:lang w:eastAsia="es-UY"/>
        </w:rPr>
        <w:fldChar w:fldCharType="separate"/>
      </w:r>
      <w:r w:rsidR="00260355" w:rsidRPr="00260355">
        <w:rPr>
          <w:rFonts w:ascii="Times New Roman" w:hAnsi="Times New Roman" w:cs="Times New Roman"/>
        </w:rPr>
        <w:t>Freigedo</w:t>
      </w:r>
      <w:r w:rsidR="00260355">
        <w:rPr>
          <w:rFonts w:ascii="Times New Roman" w:hAnsi="Times New Roman" w:cs="Times New Roman"/>
        </w:rPr>
        <w:t xml:space="preserve"> (</w:t>
      </w:r>
      <w:r w:rsidR="00260355" w:rsidRPr="00260355">
        <w:rPr>
          <w:rFonts w:ascii="Times New Roman" w:hAnsi="Times New Roman" w:cs="Times New Roman"/>
        </w:rPr>
        <w:t>2008)</w:t>
      </w:r>
      <w:r w:rsidR="00260355">
        <w:rPr>
          <w:rFonts w:ascii="Times New Roman" w:eastAsia="Times New Roman" w:hAnsi="Times New Roman" w:cs="Times New Roman"/>
          <w:color w:val="000000"/>
          <w:lang w:eastAsia="es-UY"/>
        </w:rPr>
        <w:fldChar w:fldCharType="end"/>
      </w:r>
      <w:r w:rsidR="00260355">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el tema ha ganado creciente importancia a nivel nacional, ya que los problemas ambientales han crecido tanto por el impacto negativo del desarrollo económico como por las consecuencias directas del crecimiento urbano, a menudo caracterizado por el desorden y la falta de</w:t>
      </w:r>
      <w:r w:rsidR="00260355">
        <w:rPr>
          <w:rFonts w:ascii="Times New Roman" w:eastAsia="Times New Roman" w:hAnsi="Times New Roman" w:cs="Times New Roman"/>
          <w:color w:val="000000"/>
          <w:lang w:eastAsia="es-UY"/>
        </w:rPr>
        <w:t xml:space="preserve"> planificación. En t</w:t>
      </w:r>
      <w:r w:rsidRPr="000D2C17">
        <w:rPr>
          <w:rFonts w:ascii="Times New Roman" w:eastAsia="Times New Roman" w:hAnsi="Times New Roman" w:cs="Times New Roman"/>
          <w:color w:val="000000"/>
          <w:lang w:eastAsia="es-UY"/>
        </w:rPr>
        <w:t>érminos comparativos, Uruguay asigna un muy bajo porcentaje de gasto público para proteger el ambiente (cerca del 0,04%), colocándose por debajo de casi todos los países latinoamericanos</w:t>
      </w:r>
      <w:r w:rsidR="00824D04">
        <w:rPr>
          <w:rFonts w:ascii="Times New Roman" w:eastAsia="Times New Roman" w:hAnsi="Times New Roman" w:cs="Times New Roman"/>
          <w:color w:val="000000"/>
          <w:lang w:eastAsia="es-UY"/>
        </w:rPr>
        <w:t xml:space="preserve"> (Gráfico 4)</w:t>
      </w:r>
      <w:r w:rsidRPr="000D2C17">
        <w:rPr>
          <w:rFonts w:ascii="Times New Roman" w:eastAsia="Times New Roman" w:hAnsi="Times New Roman" w:cs="Times New Roman"/>
          <w:color w:val="000000"/>
          <w:lang w:eastAsia="es-UY"/>
        </w:rPr>
        <w:t>. Esto se traduce en un menor impacto frente a problemáticas como el cambio climático o el crecimiento del nivel del mar y en menor disponibilidad de recursos ante eventos naturales extremos.</w:t>
      </w:r>
      <w:r w:rsidR="0003495C">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 xml:space="preserve">Cabe destacar que las políticas públicas específicamente formuladas para lidiar con problemáticas ambientales existen en Uruguay. Ejemplo de esto </w:t>
      </w:r>
      <w:r w:rsidR="0003495C">
        <w:rPr>
          <w:rFonts w:ascii="Times New Roman" w:eastAsia="Times New Roman" w:hAnsi="Times New Roman" w:cs="Times New Roman"/>
          <w:color w:val="000000"/>
          <w:lang w:eastAsia="es-UY"/>
        </w:rPr>
        <w:t>es el</w:t>
      </w:r>
      <w:r w:rsidRPr="000D2C17">
        <w:rPr>
          <w:rFonts w:ascii="Times New Roman" w:eastAsia="Times New Roman" w:hAnsi="Times New Roman" w:cs="Times New Roman"/>
          <w:color w:val="000000"/>
          <w:lang w:eastAsia="es-UY"/>
        </w:rPr>
        <w:t xml:space="preserve"> Plan Nacional de Adaptación al Cambio Climático</w:t>
      </w:r>
      <w:r w:rsidR="0003495C">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xml:space="preserve"> No obstante, es claro que el impacto de estas </w:t>
      </w:r>
      <w:r w:rsidRPr="000D2C17">
        <w:rPr>
          <w:rFonts w:ascii="Times New Roman" w:eastAsia="Times New Roman" w:hAnsi="Times New Roman" w:cs="Times New Roman"/>
          <w:color w:val="000000"/>
          <w:lang w:eastAsia="es-UY"/>
        </w:rPr>
        <w:lastRenderedPageBreak/>
        <w:t>políticas</w:t>
      </w:r>
      <w:r w:rsidR="0003495C">
        <w:rPr>
          <w:rFonts w:ascii="Times New Roman" w:eastAsia="Times New Roman" w:hAnsi="Times New Roman" w:cs="Times New Roman"/>
          <w:color w:val="000000"/>
          <w:lang w:eastAsia="es-UY"/>
        </w:rPr>
        <w:t xml:space="preserve"> y</w:t>
      </w:r>
      <w:r w:rsidRPr="000D2C17">
        <w:rPr>
          <w:rFonts w:ascii="Times New Roman" w:eastAsia="Times New Roman" w:hAnsi="Times New Roman" w:cs="Times New Roman"/>
          <w:color w:val="000000"/>
          <w:lang w:eastAsia="es-UY"/>
        </w:rPr>
        <w:t xml:space="preserve"> la capacidad de monitoreo de los problemas ambientales decrecen si no se cuenta con </w:t>
      </w:r>
      <w:r w:rsidR="00824D04" w:rsidRPr="000D2C17">
        <w:rPr>
          <w:rFonts w:ascii="Times New Roman" w:eastAsia="Times New Roman" w:hAnsi="Times New Roman" w:cs="Times New Roman"/>
          <w:noProof/>
          <w:color w:val="000000"/>
          <w:bdr w:val="single" w:sz="18" w:space="0" w:color="000000" w:frame="1"/>
          <w:lang w:eastAsia="es-UY"/>
        </w:rPr>
        <w:drawing>
          <wp:anchor distT="0" distB="0" distL="114300" distR="114300" simplePos="0" relativeHeight="251660288" behindDoc="0" locked="0" layoutInCell="1" allowOverlap="1">
            <wp:simplePos x="0" y="0"/>
            <wp:positionH relativeFrom="margin">
              <wp:align>center</wp:align>
            </wp:positionH>
            <wp:positionV relativeFrom="paragraph">
              <wp:posOffset>514350</wp:posOffset>
            </wp:positionV>
            <wp:extent cx="2876550" cy="2461260"/>
            <wp:effectExtent l="38100" t="38100" r="38100" b="3429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2461260"/>
                    </a:xfrm>
                    <a:prstGeom prst="rect">
                      <a:avLst/>
                    </a:prstGeom>
                    <a:noFill/>
                    <a:ln w="38100">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Pr="000D2C17">
        <w:rPr>
          <w:rFonts w:ascii="Times New Roman" w:eastAsia="Times New Roman" w:hAnsi="Times New Roman" w:cs="Times New Roman"/>
          <w:color w:val="000000"/>
          <w:lang w:eastAsia="es-UY"/>
        </w:rPr>
        <w:t xml:space="preserve">los recursos </w:t>
      </w:r>
      <w:r w:rsidR="0003495C">
        <w:rPr>
          <w:rFonts w:ascii="Times New Roman" w:eastAsia="Times New Roman" w:hAnsi="Times New Roman" w:cs="Times New Roman"/>
          <w:color w:val="000000"/>
          <w:lang w:eastAsia="es-UY"/>
        </w:rPr>
        <w:t>necesarios.</w:t>
      </w:r>
    </w:p>
    <w:p w:rsidR="000D2C17" w:rsidRPr="000D2C17" w:rsidRDefault="000D2C17" w:rsidP="00D825D0">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18"/>
          <w:szCs w:val="18"/>
          <w:lang w:eastAsia="es-UY"/>
        </w:rPr>
        <w:t xml:space="preserve">Gráfico </w:t>
      </w:r>
      <w:r w:rsidR="00824D04">
        <w:rPr>
          <w:rFonts w:ascii="Times New Roman" w:eastAsia="Times New Roman" w:hAnsi="Times New Roman" w:cs="Times New Roman"/>
          <w:color w:val="000000"/>
          <w:sz w:val="18"/>
          <w:szCs w:val="18"/>
          <w:lang w:eastAsia="es-UY"/>
        </w:rPr>
        <w:t>4</w:t>
      </w:r>
      <w:r w:rsidRPr="000D2C17">
        <w:rPr>
          <w:rFonts w:ascii="Times New Roman" w:eastAsia="Times New Roman" w:hAnsi="Times New Roman" w:cs="Times New Roman"/>
          <w:color w:val="000000"/>
          <w:sz w:val="18"/>
          <w:szCs w:val="18"/>
          <w:lang w:eastAsia="es-UY"/>
        </w:rPr>
        <w:t>. Gasto público (en % del PIB) dedicado a la protección del medio ambiente. CEPAL (2019).</w:t>
      </w:r>
    </w:p>
    <w:p w:rsidR="00850DFC" w:rsidRPr="000D2C17" w:rsidRDefault="00850DFC" w:rsidP="00D825D0">
      <w:pPr>
        <w:spacing w:after="0" w:line="360" w:lineRule="auto"/>
        <w:ind w:firstLine="340"/>
        <w:jc w:val="center"/>
        <w:rPr>
          <w:rFonts w:ascii="Times New Roman" w:eastAsia="Times New Roman" w:hAnsi="Times New Roman" w:cs="Times New Roman"/>
          <w:sz w:val="24"/>
          <w:szCs w:val="24"/>
          <w:lang w:eastAsia="es-UY"/>
        </w:rPr>
      </w:pPr>
    </w:p>
    <w:p w:rsidR="00850DFC" w:rsidRPr="000D2C17" w:rsidRDefault="00850DFC" w:rsidP="00D825D0">
      <w:pPr>
        <w:spacing w:after="0" w:line="360" w:lineRule="auto"/>
        <w:ind w:firstLine="340"/>
        <w:rPr>
          <w:rFonts w:ascii="Times New Roman" w:eastAsia="Times New Roman" w:hAnsi="Times New Roman" w:cs="Times New Roman"/>
          <w:i/>
          <w:iCs/>
          <w:sz w:val="24"/>
          <w:szCs w:val="24"/>
          <w:lang w:eastAsia="es-UY"/>
        </w:rPr>
      </w:pPr>
      <w:r w:rsidRPr="000D2C17">
        <w:rPr>
          <w:rFonts w:ascii="Times New Roman" w:eastAsia="Times New Roman" w:hAnsi="Times New Roman" w:cs="Times New Roman"/>
          <w:b/>
          <w:bCs/>
          <w:i/>
          <w:iCs/>
          <w:color w:val="000000"/>
          <w:lang w:eastAsia="es-UY"/>
        </w:rPr>
        <w:t>Uruguay de cara a</w:t>
      </w:r>
      <w:r>
        <w:rPr>
          <w:rFonts w:ascii="Times New Roman" w:eastAsia="Times New Roman" w:hAnsi="Times New Roman" w:cs="Times New Roman"/>
          <w:b/>
          <w:bCs/>
          <w:i/>
          <w:iCs/>
          <w:color w:val="000000"/>
          <w:lang w:eastAsia="es-UY"/>
        </w:rPr>
        <w:t>l mundo</w:t>
      </w:r>
    </w:p>
    <w:p w:rsidR="00E17FB8" w:rsidRDefault="00E17FB8" w:rsidP="00D825D0">
      <w:pPr>
        <w:spacing w:after="0" w:line="360" w:lineRule="auto"/>
        <w:ind w:firstLine="340"/>
        <w:jc w:val="both"/>
        <w:rPr>
          <w:rFonts w:ascii="Times New Roman" w:eastAsia="Times New Roman" w:hAnsi="Times New Roman" w:cs="Times New Roman"/>
          <w:lang w:eastAsia="es-UY"/>
        </w:rPr>
      </w:pPr>
      <w:r>
        <w:rPr>
          <w:rFonts w:ascii="Times New Roman" w:eastAsia="Times New Roman" w:hAnsi="Times New Roman" w:cs="Times New Roman"/>
          <w:lang w:eastAsia="es-UY"/>
        </w:rPr>
        <w:t xml:space="preserve">Cabe destacar que, incluso a pesar de que en algunas dimensiones (pobreza, desigualdad, gasto público social) Uruguay </w:t>
      </w:r>
      <w:r w:rsidR="00D825D0">
        <w:rPr>
          <w:rFonts w:ascii="Times New Roman" w:eastAsia="Times New Roman" w:hAnsi="Times New Roman" w:cs="Times New Roman"/>
          <w:lang w:eastAsia="es-UY"/>
        </w:rPr>
        <w:t xml:space="preserve">se sitúa </w:t>
      </w:r>
      <w:r>
        <w:rPr>
          <w:rFonts w:ascii="Times New Roman" w:eastAsia="Times New Roman" w:hAnsi="Times New Roman" w:cs="Times New Roman"/>
          <w:lang w:eastAsia="es-UY"/>
        </w:rPr>
        <w:t>como</w:t>
      </w:r>
      <w:r w:rsidR="00D825D0">
        <w:rPr>
          <w:rFonts w:ascii="Times New Roman" w:eastAsia="Times New Roman" w:hAnsi="Times New Roman" w:cs="Times New Roman"/>
          <w:lang w:eastAsia="es-UY"/>
        </w:rPr>
        <w:t xml:space="preserve"> un país</w:t>
      </w:r>
      <w:r>
        <w:rPr>
          <w:rFonts w:ascii="Times New Roman" w:eastAsia="Times New Roman" w:hAnsi="Times New Roman" w:cs="Times New Roman"/>
          <w:lang w:eastAsia="es-UY"/>
        </w:rPr>
        <w:t xml:space="preserve"> realmente excepcional en Latinoamérica, esto puede ser relativizado rápidamente si se tiene en cuenta que Latinoamérica tiene cifras muy negativas en comparación con otras regiones del planeta.</w:t>
      </w:r>
    </w:p>
    <w:p w:rsidR="00C4434B" w:rsidRDefault="00E17FB8" w:rsidP="00D825D0">
      <w:pPr>
        <w:spacing w:after="0" w:line="360" w:lineRule="auto"/>
        <w:ind w:firstLine="340"/>
        <w:jc w:val="both"/>
        <w:rPr>
          <w:rFonts w:ascii="Times New Roman" w:eastAsia="Times New Roman" w:hAnsi="Times New Roman" w:cs="Times New Roman"/>
          <w:lang w:eastAsia="es-UY"/>
        </w:rPr>
      </w:pPr>
      <w:r>
        <w:rPr>
          <w:rFonts w:ascii="Times New Roman" w:eastAsia="Times New Roman" w:hAnsi="Times New Roman" w:cs="Times New Roman"/>
          <w:lang w:eastAsia="es-UY"/>
        </w:rPr>
        <w:t>En primer lugar, aunque la pobreza en Uruguay es muy reducida para el contexto latinoamericano</w:t>
      </w:r>
      <w:r w:rsidR="00C4434B">
        <w:rPr>
          <w:rFonts w:ascii="Times New Roman" w:eastAsia="Times New Roman" w:hAnsi="Times New Roman" w:cs="Times New Roman"/>
          <w:lang w:eastAsia="es-UY"/>
        </w:rPr>
        <w:t>, los guarismos son bastante altos a nivel mundial. Es claro que no es posible compararse con países europeos, principalmente, debido a la magnitud de las cifras de pobreza infantil</w:t>
      </w:r>
      <w:r w:rsidR="00D825D0">
        <w:rPr>
          <w:rFonts w:ascii="Times New Roman" w:eastAsia="Times New Roman" w:hAnsi="Times New Roman" w:cs="Times New Roman"/>
          <w:lang w:eastAsia="es-UY"/>
        </w:rPr>
        <w:t xml:space="preserve"> en el país</w:t>
      </w:r>
      <w:r w:rsidR="00C4434B">
        <w:rPr>
          <w:rFonts w:ascii="Times New Roman" w:eastAsia="Times New Roman" w:hAnsi="Times New Roman" w:cs="Times New Roman"/>
          <w:lang w:eastAsia="es-UY"/>
        </w:rPr>
        <w:t xml:space="preserve">. En concreto, la </w:t>
      </w:r>
      <w:r w:rsidR="00C4434B" w:rsidRPr="00C4434B">
        <w:rPr>
          <w:rFonts w:ascii="Times New Roman" w:eastAsia="Times New Roman" w:hAnsi="Times New Roman" w:cs="Times New Roman"/>
          <w:lang w:eastAsia="es-UY"/>
        </w:rPr>
        <w:t>distancia entre Uruguay y los países de altos ingresos y de desarrollo humano muy alto</w:t>
      </w:r>
      <w:r w:rsidR="00C4434B">
        <w:rPr>
          <w:rFonts w:ascii="Times New Roman" w:eastAsia="Times New Roman" w:hAnsi="Times New Roman" w:cs="Times New Roman"/>
          <w:lang w:eastAsia="es-UY"/>
        </w:rPr>
        <w:t xml:space="preserve"> </w:t>
      </w:r>
      <w:r w:rsidR="00C4434B" w:rsidRPr="00C4434B">
        <w:rPr>
          <w:rFonts w:ascii="Times New Roman" w:eastAsia="Times New Roman" w:hAnsi="Times New Roman" w:cs="Times New Roman"/>
          <w:lang w:eastAsia="es-UY"/>
        </w:rPr>
        <w:t xml:space="preserve">con relación al esfuerzo macroeconómico </w:t>
      </w:r>
      <w:r w:rsidR="00C4434B">
        <w:rPr>
          <w:rFonts w:ascii="Times New Roman" w:eastAsia="Times New Roman" w:hAnsi="Times New Roman" w:cs="Times New Roman"/>
          <w:lang w:eastAsia="es-UY"/>
        </w:rPr>
        <w:t>que los Estados efectúan al momento de financiar prestaciones de protección social y políticas públicas enfocadas en</w:t>
      </w:r>
      <w:r w:rsidR="00C4434B" w:rsidRPr="00C4434B">
        <w:rPr>
          <w:rFonts w:ascii="Times New Roman" w:eastAsia="Times New Roman" w:hAnsi="Times New Roman" w:cs="Times New Roman"/>
          <w:lang w:eastAsia="es-UY"/>
        </w:rPr>
        <w:t xml:space="preserve"> los niños y sus familias</w:t>
      </w:r>
      <w:r w:rsidR="00C4434B">
        <w:rPr>
          <w:rFonts w:ascii="Times New Roman" w:eastAsia="Times New Roman" w:hAnsi="Times New Roman" w:cs="Times New Roman"/>
          <w:lang w:eastAsia="es-UY"/>
        </w:rPr>
        <w:t>,</w:t>
      </w:r>
      <w:r w:rsidR="00C4434B" w:rsidRPr="00C4434B">
        <w:rPr>
          <w:rFonts w:ascii="Times New Roman" w:eastAsia="Times New Roman" w:hAnsi="Times New Roman" w:cs="Times New Roman"/>
          <w:lang w:eastAsia="es-UY"/>
        </w:rPr>
        <w:t xml:space="preserve"> resulta </w:t>
      </w:r>
      <w:r w:rsidR="00C4434B">
        <w:rPr>
          <w:rFonts w:ascii="Times New Roman" w:eastAsia="Times New Roman" w:hAnsi="Times New Roman" w:cs="Times New Roman"/>
          <w:lang w:eastAsia="es-UY"/>
        </w:rPr>
        <w:t>especialmente alt</w:t>
      </w:r>
      <w:r w:rsidR="00D825D0">
        <w:rPr>
          <w:rFonts w:ascii="Times New Roman" w:eastAsia="Times New Roman" w:hAnsi="Times New Roman" w:cs="Times New Roman"/>
          <w:lang w:eastAsia="es-UY"/>
        </w:rPr>
        <w:t>a, principalmente</w:t>
      </w:r>
      <w:r w:rsidR="00C4434B">
        <w:rPr>
          <w:rFonts w:ascii="Times New Roman" w:eastAsia="Times New Roman" w:hAnsi="Times New Roman" w:cs="Times New Roman"/>
          <w:lang w:eastAsia="es-UY"/>
        </w:rPr>
        <w:t xml:space="preserve"> si se analiza </w:t>
      </w:r>
      <w:r w:rsidR="00C4434B" w:rsidRPr="00C4434B">
        <w:rPr>
          <w:rFonts w:ascii="Times New Roman" w:eastAsia="Times New Roman" w:hAnsi="Times New Roman" w:cs="Times New Roman"/>
          <w:lang w:eastAsia="es-UY"/>
        </w:rPr>
        <w:t xml:space="preserve">el promedio de </w:t>
      </w:r>
      <w:r w:rsidR="00C4434B">
        <w:rPr>
          <w:rFonts w:ascii="Times New Roman" w:eastAsia="Times New Roman" w:hAnsi="Times New Roman" w:cs="Times New Roman"/>
          <w:lang w:eastAsia="es-UY"/>
        </w:rPr>
        <w:t xml:space="preserve">gasto de </w:t>
      </w:r>
      <w:r w:rsidR="00C4434B" w:rsidRPr="00C4434B">
        <w:rPr>
          <w:rFonts w:ascii="Times New Roman" w:eastAsia="Times New Roman" w:hAnsi="Times New Roman" w:cs="Times New Roman"/>
          <w:lang w:eastAsia="es-UY"/>
        </w:rPr>
        <w:t xml:space="preserve">los países de Europa Occidental. De hecho, </w:t>
      </w:r>
      <w:r w:rsidR="00C4434B">
        <w:rPr>
          <w:rFonts w:ascii="Times New Roman" w:eastAsia="Times New Roman" w:hAnsi="Times New Roman" w:cs="Times New Roman"/>
          <w:lang w:eastAsia="es-UY"/>
        </w:rPr>
        <w:t>“</w:t>
      </w:r>
      <w:r w:rsidR="00C4434B" w:rsidRPr="00C4434B">
        <w:rPr>
          <w:rFonts w:ascii="Times New Roman" w:eastAsia="Times New Roman" w:hAnsi="Times New Roman" w:cs="Times New Roman"/>
          <w:lang w:eastAsia="es-UY"/>
        </w:rPr>
        <w:t xml:space="preserve">algunos de estos países dedican una porción del </w:t>
      </w:r>
      <w:r w:rsidR="00C4434B">
        <w:rPr>
          <w:rFonts w:ascii="Times New Roman" w:eastAsia="Times New Roman" w:hAnsi="Times New Roman" w:cs="Times New Roman"/>
          <w:lang w:eastAsia="es-UY"/>
        </w:rPr>
        <w:t>PIB</w:t>
      </w:r>
      <w:r w:rsidR="00C4434B" w:rsidRPr="00C4434B">
        <w:rPr>
          <w:rFonts w:ascii="Times New Roman" w:eastAsia="Times New Roman" w:hAnsi="Times New Roman" w:cs="Times New Roman"/>
          <w:lang w:eastAsia="es-UY"/>
        </w:rPr>
        <w:t xml:space="preserve"> cinco o seis veces mayor que la que destina Uruguay</w:t>
      </w:r>
      <w:r w:rsidR="00C4434B">
        <w:rPr>
          <w:rFonts w:ascii="Times New Roman" w:eastAsia="Times New Roman" w:hAnsi="Times New Roman" w:cs="Times New Roman"/>
          <w:lang w:eastAsia="es-UY"/>
        </w:rPr>
        <w:t>” para esta materia</w:t>
      </w:r>
      <w:r w:rsidR="00D825D0">
        <w:rPr>
          <w:rFonts w:ascii="Times New Roman" w:eastAsia="Times New Roman" w:hAnsi="Times New Roman" w:cs="Times New Roman"/>
          <w:lang w:eastAsia="es-UY"/>
        </w:rPr>
        <w:t>, por lo que no resulta llamativa la brecha en pobreza entre Uruguay y los países europeos</w:t>
      </w:r>
      <w:r w:rsidR="00C4434B">
        <w:rPr>
          <w:rFonts w:ascii="Times New Roman" w:eastAsia="Times New Roman" w:hAnsi="Times New Roman" w:cs="Times New Roman"/>
          <w:lang w:eastAsia="es-UY"/>
        </w:rPr>
        <w:t xml:space="preserve"> </w:t>
      </w:r>
      <w:r w:rsidR="00C4434B">
        <w:rPr>
          <w:rFonts w:ascii="Times New Roman" w:eastAsia="Times New Roman" w:hAnsi="Times New Roman" w:cs="Times New Roman"/>
          <w:lang w:eastAsia="es-UY"/>
        </w:rPr>
        <w:fldChar w:fldCharType="begin"/>
      </w:r>
      <w:r w:rsidR="00B94A0A">
        <w:rPr>
          <w:rFonts w:ascii="Times New Roman" w:eastAsia="Times New Roman" w:hAnsi="Times New Roman" w:cs="Times New Roman"/>
          <w:lang w:eastAsia="es-UY"/>
        </w:rPr>
        <w:instrText xml:space="preserve"> ADDIN ZOTERO_ITEM CSL_CITATION {"citationID":"r8qVvwY0","properties":{"formattedCitation":"(Armas, 2017)","plainCitation":"(Armas, 2017)","noteIndex":0},"citationItems":[{"id":193,"uris":["http://zotero.org/users/10325949/items/67G969K2"],"itemData":{"id":193,"type":"book","call-number":"HV747.U72 A76 2017","edition":"Primera edición","event-place":"Montevideo, Uruguay","ISBN":"978-92-806-4914-7","note":"OCLC: on1056108430","number-of-pages":"46","publisher":"UNICEF Uruguay","publisher-place":"Montevideo, Uruguay","source":"Library of Congress ISBN","title":"Poner fin a la pobreza infantil en Uruguay: un objetivo posible para la política pública","title-short":"Poner fin a la pobreza infantil en Uruguay","author":[{"family":"Armas","given":"Gustavo","dropping-particle":"de"}],"contributor":[{"family":"UNICEF Uruguay","given":""}],"issued":{"date-parts":[["2017"]]}}}],"schema":"https://github.com/citation-style-language/schema/raw/master/csl-citation.json"} </w:instrText>
      </w:r>
      <w:r w:rsidR="00C4434B">
        <w:rPr>
          <w:rFonts w:ascii="Times New Roman" w:eastAsia="Times New Roman" w:hAnsi="Times New Roman" w:cs="Times New Roman"/>
          <w:lang w:eastAsia="es-UY"/>
        </w:rPr>
        <w:fldChar w:fldCharType="separate"/>
      </w:r>
      <w:r w:rsidR="00B94A0A" w:rsidRPr="00B94A0A">
        <w:rPr>
          <w:rFonts w:ascii="Times New Roman" w:hAnsi="Times New Roman" w:cs="Times New Roman"/>
        </w:rPr>
        <w:t>(Armas, 2017)</w:t>
      </w:r>
      <w:r w:rsidR="00C4434B">
        <w:rPr>
          <w:rFonts w:ascii="Times New Roman" w:eastAsia="Times New Roman" w:hAnsi="Times New Roman" w:cs="Times New Roman"/>
          <w:lang w:eastAsia="es-UY"/>
        </w:rPr>
        <w:fldChar w:fldCharType="end"/>
      </w:r>
      <w:r w:rsidR="00B94A0A">
        <w:rPr>
          <w:rFonts w:ascii="Times New Roman" w:eastAsia="Times New Roman" w:hAnsi="Times New Roman" w:cs="Times New Roman"/>
          <w:lang w:eastAsia="es-UY"/>
        </w:rPr>
        <w:t>.</w:t>
      </w:r>
    </w:p>
    <w:p w:rsidR="00C4434B" w:rsidRDefault="00B94A0A" w:rsidP="00D825D0">
      <w:pPr>
        <w:spacing w:after="0" w:line="360" w:lineRule="auto"/>
        <w:ind w:firstLine="340"/>
        <w:jc w:val="both"/>
        <w:rPr>
          <w:rFonts w:ascii="Times New Roman" w:eastAsia="Times New Roman" w:hAnsi="Times New Roman" w:cs="Times New Roman"/>
          <w:lang w:eastAsia="es-UY"/>
        </w:rPr>
      </w:pPr>
      <w:r>
        <w:rPr>
          <w:rFonts w:ascii="Times New Roman" w:eastAsia="Times New Roman" w:hAnsi="Times New Roman" w:cs="Times New Roman"/>
          <w:lang w:eastAsia="es-UY"/>
        </w:rPr>
        <w:t xml:space="preserve">De igual manera, la desigualdad de ingresos medida por el Índice de GINI es especialmente clara como medida para demostrar que la excepcionalidad uruguaya solo puede aceptarse si nos limitamos al continente latinoamericano. Al momento de comparar el Índice de GINI uruguayo con los valores europeos, observamos una brecha muy importante, sobre todo al compararlo </w:t>
      </w:r>
      <w:r w:rsidRPr="00B94A0A">
        <w:rPr>
          <w:rFonts w:ascii="Times New Roman" w:eastAsia="Times New Roman" w:hAnsi="Times New Roman" w:cs="Times New Roman"/>
          <w:lang w:eastAsia="es-UY"/>
        </w:rPr>
        <w:t xml:space="preserve">con las sociedades igualitarias del norte de Europa. </w:t>
      </w:r>
      <w:r>
        <w:rPr>
          <w:rFonts w:ascii="Times New Roman" w:eastAsia="Times New Roman" w:hAnsi="Times New Roman" w:cs="Times New Roman"/>
          <w:lang w:eastAsia="es-UY"/>
        </w:rPr>
        <w:t>En esa región, l</w:t>
      </w:r>
      <w:r w:rsidRPr="00B94A0A">
        <w:rPr>
          <w:rFonts w:ascii="Times New Roman" w:eastAsia="Times New Roman" w:hAnsi="Times New Roman" w:cs="Times New Roman"/>
          <w:lang w:eastAsia="es-UY"/>
        </w:rPr>
        <w:t>os índices de G</w:t>
      </w:r>
      <w:r>
        <w:rPr>
          <w:rFonts w:ascii="Times New Roman" w:eastAsia="Times New Roman" w:hAnsi="Times New Roman" w:cs="Times New Roman"/>
          <w:lang w:eastAsia="es-UY"/>
        </w:rPr>
        <w:t>INI</w:t>
      </w:r>
      <w:r w:rsidRPr="00B94A0A">
        <w:rPr>
          <w:rFonts w:ascii="Times New Roman" w:eastAsia="Times New Roman" w:hAnsi="Times New Roman" w:cs="Times New Roman"/>
          <w:lang w:eastAsia="es-UY"/>
        </w:rPr>
        <w:t xml:space="preserve"> más bajos que conocemos están en el entorno de 0.25</w:t>
      </w:r>
      <w:r w:rsidR="00D825D0">
        <w:rPr>
          <w:rFonts w:ascii="Times New Roman" w:eastAsia="Times New Roman" w:hAnsi="Times New Roman" w:cs="Times New Roman"/>
          <w:lang w:eastAsia="es-UY"/>
        </w:rPr>
        <w:t>. P</w:t>
      </w:r>
      <w:r>
        <w:rPr>
          <w:rFonts w:ascii="Times New Roman" w:eastAsia="Times New Roman" w:hAnsi="Times New Roman" w:cs="Times New Roman"/>
          <w:lang w:eastAsia="es-UY"/>
        </w:rPr>
        <w:t xml:space="preserve">or este motivo, </w:t>
      </w:r>
      <w:r w:rsidR="00D825D0">
        <w:rPr>
          <w:rFonts w:ascii="Times New Roman" w:eastAsia="Times New Roman" w:hAnsi="Times New Roman" w:cs="Times New Roman"/>
          <w:lang w:eastAsia="es-UY"/>
        </w:rPr>
        <w:t xml:space="preserve">los valores de Uruguay (0,40 en 2020 </w:t>
      </w:r>
      <w:r w:rsidR="00D825D0">
        <w:rPr>
          <w:rFonts w:ascii="Times New Roman" w:eastAsia="Times New Roman" w:hAnsi="Times New Roman" w:cs="Times New Roman"/>
          <w:lang w:eastAsia="es-UY"/>
        </w:rPr>
        <w:lastRenderedPageBreak/>
        <w:t>según el Banco Mundial)</w:t>
      </w:r>
      <w:r w:rsidRPr="00B94A0A">
        <w:rPr>
          <w:rFonts w:ascii="Times New Roman" w:eastAsia="Times New Roman" w:hAnsi="Times New Roman" w:cs="Times New Roman"/>
          <w:lang w:eastAsia="es-UY"/>
        </w:rPr>
        <w:t xml:space="preserve"> </w:t>
      </w:r>
      <w:r w:rsidR="00D825D0">
        <w:rPr>
          <w:rFonts w:ascii="Times New Roman" w:eastAsia="Times New Roman" w:hAnsi="Times New Roman" w:cs="Times New Roman"/>
          <w:lang w:eastAsia="es-UY"/>
        </w:rPr>
        <w:t>quedan muy lejos de ese umbral, por lo que existe un largo camino por recorrer (véase Gráfico 5).</w:t>
      </w:r>
    </w:p>
    <w:p w:rsidR="00C4434B" w:rsidRPr="000D2C17" w:rsidRDefault="00D825D0" w:rsidP="00D825D0">
      <w:pPr>
        <w:spacing w:after="0" w:line="360" w:lineRule="auto"/>
        <w:ind w:firstLine="340"/>
        <w:jc w:val="center"/>
        <w:rPr>
          <w:rFonts w:ascii="Times New Roman" w:eastAsia="Times New Roman" w:hAnsi="Times New Roman" w:cs="Times New Roman"/>
          <w:sz w:val="24"/>
          <w:szCs w:val="24"/>
          <w:lang w:eastAsia="es-UY"/>
        </w:rPr>
      </w:pPr>
      <w:r>
        <w:rPr>
          <w:noProof/>
        </w:rPr>
        <w:drawing>
          <wp:anchor distT="0" distB="0" distL="114300" distR="114300" simplePos="0" relativeHeight="251667456" behindDoc="0" locked="0" layoutInCell="1" allowOverlap="1" wp14:anchorId="41D111E9">
            <wp:simplePos x="0" y="0"/>
            <wp:positionH relativeFrom="margin">
              <wp:posOffset>120015</wp:posOffset>
            </wp:positionH>
            <wp:positionV relativeFrom="paragraph">
              <wp:posOffset>38100</wp:posOffset>
            </wp:positionV>
            <wp:extent cx="5400040" cy="2976880"/>
            <wp:effectExtent l="38100" t="38100" r="29210" b="330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976880"/>
                    </a:xfrm>
                    <a:prstGeom prst="rect">
                      <a:avLst/>
                    </a:prstGeom>
                    <a:ln w="38100">
                      <a:solidFill>
                        <a:schemeClr val="bg2">
                          <a:lumMod val="50000"/>
                        </a:schemeClr>
                      </a:solidFill>
                    </a:ln>
                  </pic:spPr>
                </pic:pic>
              </a:graphicData>
            </a:graphic>
          </wp:anchor>
        </w:drawing>
      </w:r>
      <w:r>
        <w:rPr>
          <w:rFonts w:ascii="Times New Roman" w:eastAsia="Times New Roman" w:hAnsi="Times New Roman" w:cs="Times New Roman"/>
          <w:color w:val="000000"/>
          <w:sz w:val="18"/>
          <w:szCs w:val="18"/>
          <w:lang w:eastAsia="es-UY"/>
        </w:rPr>
        <w:t>Gr</w:t>
      </w:r>
      <w:r w:rsidR="00C4434B" w:rsidRPr="000D2C17">
        <w:rPr>
          <w:rFonts w:ascii="Times New Roman" w:eastAsia="Times New Roman" w:hAnsi="Times New Roman" w:cs="Times New Roman"/>
          <w:color w:val="000000"/>
          <w:sz w:val="18"/>
          <w:szCs w:val="18"/>
          <w:lang w:eastAsia="es-UY"/>
        </w:rPr>
        <w:t xml:space="preserve">áfico </w:t>
      </w:r>
      <w:r>
        <w:rPr>
          <w:rFonts w:ascii="Times New Roman" w:eastAsia="Times New Roman" w:hAnsi="Times New Roman" w:cs="Times New Roman"/>
          <w:color w:val="000000"/>
          <w:sz w:val="18"/>
          <w:szCs w:val="18"/>
          <w:lang w:eastAsia="es-UY"/>
        </w:rPr>
        <w:t>5</w:t>
      </w:r>
      <w:r w:rsidR="00C4434B" w:rsidRPr="000D2C17">
        <w:rPr>
          <w:rFonts w:ascii="Times New Roman" w:eastAsia="Times New Roman" w:hAnsi="Times New Roman" w:cs="Times New Roman"/>
          <w:color w:val="000000"/>
          <w:sz w:val="18"/>
          <w:szCs w:val="18"/>
          <w:lang w:eastAsia="es-UY"/>
        </w:rPr>
        <w:t xml:space="preserve">. </w:t>
      </w:r>
      <w:r>
        <w:rPr>
          <w:rFonts w:ascii="Times New Roman" w:eastAsia="Times New Roman" w:hAnsi="Times New Roman" w:cs="Times New Roman"/>
          <w:color w:val="000000"/>
          <w:sz w:val="18"/>
          <w:szCs w:val="18"/>
          <w:lang w:eastAsia="es-UY"/>
        </w:rPr>
        <w:t>Índice de GINI para Uruguay y algunos países europeos. Datos del Banco Mundial (2012-2018).</w:t>
      </w:r>
    </w:p>
    <w:p w:rsidR="00C4434B" w:rsidRDefault="00C4434B" w:rsidP="00D825D0">
      <w:pPr>
        <w:spacing w:after="0" w:line="360" w:lineRule="auto"/>
        <w:ind w:firstLine="340"/>
        <w:rPr>
          <w:rFonts w:ascii="Times New Roman" w:eastAsia="Times New Roman" w:hAnsi="Times New Roman" w:cs="Times New Roman"/>
          <w:lang w:eastAsia="es-UY"/>
        </w:rPr>
      </w:pP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i/>
          <w:iCs/>
          <w:color w:val="000000"/>
          <w:lang w:eastAsia="es-UY"/>
        </w:rPr>
        <w:t>Algunas disparidades subnacionales</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La tabla inferior resume dos indicadores que entendimos ilustrativos para este punto: el Índice de Desarrollo Humano departamental</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{"citationID":"kutxULuM","properties":{"formattedCitation":"(OPP, 2018)","plainCitation":"(OPP, 2018)","noteIndex":0},"citationItems":[{"id":165,"uris":["http://zotero.org/users/10325949/items/P2UZLLEW"],"itemData":{"id":165,"type":"document","language":"Español","title":"Índice de desarrollo humano por departamento. Síntesis metodológica y de resultados.","URL":"https://otu.opp.gub.uy/gestor/imagesbiblioteca/IDH%20-%20S%C3%ADntesis%20metodológica%20y%20de%20resultados_2.pdf","author":[{"family":"OPP","given":""}],"issued":{"date-parts":[["2018"]]}}}],"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(OPP, 2018)</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y un componente, la gestión del sector público, del Índice de Competitividad Departamental</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{"citationID":"BkIshbHu","properties":{"formattedCitation":"(Horta et\\uc0\\u160{}al., 2017)","plainCitation":"(Horta et al., 2017)","noteIndex":0},"citationItems":[{"id":160,"uris":["http://zotero.org/users/10325949/items/PM4GEL38"],"itemData":{"id":160,"type":"book","event-place":"Montevideo","ISBN":"978-9974-9306-3-6","language":"spa","number-of-pages":"325","publisher":"Pharos: Análisis y Propuestas de la Academia Nacional de Economía","publisher-place":"Montevideo","source":"K10plus ISBN","title":"Indicadores de competitividad departamental en Uruguay","author":[{"family":"Horta","given":"Roberto"},{"family":"Camacho","given":"Micaela"},{"family":"Silveira","given":"Luis"}],"issued":{"date-parts":[["2017"]]}}}],"schema":"https://github.com/citation-style-language/schema/raw/master/csl-citation.json"}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szCs w:val="24"/>
        </w:rPr>
        <w:t>(Horta et al., 2017)</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w:t>
      </w:r>
    </w:p>
    <w:p w:rsidR="000D2C17" w:rsidRPr="000D2C17" w:rsidRDefault="000D2C17" w:rsidP="00D825D0">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Por la definición de capacidades estatales anteriormente establecida, entendimos que es especialmente interesante visualizar cómo la gestión pública se desempeña en los distintos departamentos, ya sea por diferencias en la utilización de recursos por parte de los gobiernos departamentales como por variaciones en su asignación en el territorio por parte del gobierno nacional. Afortunadamente, el IDC tiene computado un indicador que da cuenta de esta variación. Este se compone de tres dimensiones: los gastos totales sobre los ingresos del departamento; como reflejo de la carga tributaria, el ingreso tributario en relación al ingreso del departamento; y la cantidad de funcionarios de la administración nacional desplegados de forma permanente en el departamento en relación a la población ocupada del mismo. Como la tabla a continuación muestra, para el año 2015 Montevideo se sitúa a la cabeza del ranking y Artigas ocupa el último puesto, indicando que es el departamento con peor perfil de gestión del sector público</w:t>
      </w:r>
    </w:p>
    <w:p w:rsidR="00D930A1" w:rsidRPr="00D825D0" w:rsidRDefault="000D2C17" w:rsidP="00D825D0">
      <w:pPr>
        <w:spacing w:after="0" w:line="360" w:lineRule="auto"/>
        <w:ind w:firstLine="340"/>
        <w:jc w:val="both"/>
        <w:rPr>
          <w:rFonts w:ascii="Times New Roman" w:eastAsia="Times New Roman" w:hAnsi="Times New Roman" w:cs="Times New Roman"/>
          <w:color w:val="000000"/>
          <w:lang w:eastAsia="es-UY"/>
        </w:rPr>
      </w:pPr>
      <w:r w:rsidRPr="000D2C17">
        <w:rPr>
          <w:rFonts w:ascii="Times New Roman" w:eastAsia="Times New Roman" w:hAnsi="Times New Roman" w:cs="Times New Roman"/>
          <w:color w:val="000000"/>
          <w:lang w:eastAsia="es-UY"/>
        </w:rPr>
        <w:t>Adicionalmente, las disparidades territoriales se evidencian en términos de calidad de vida de la población. El índice de desarrollo humano medido a nivel departamental evidencia diferencias sustantivas entre departamentos. Mientras que Montevideo tiene un IDH de 0,841 puntos en 2015, Cerro Largo, el más bajo, está 0,087 puntos por debajo, en 0,754 en la escala. Esto es, que en 2015 el IDH de Montevideo fue un 12% mayor al de Cerro Largo.</w:t>
      </w:r>
    </w:p>
    <w:tbl>
      <w:tblPr>
        <w:tblStyle w:val="Tablanormal1"/>
        <w:tblpPr w:leftFromText="141" w:rightFromText="141" w:vertAnchor="text" w:horzAnchor="margin" w:tblpXSpec="center" w:tblpY="31"/>
        <w:tblW w:w="0" w:type="auto"/>
        <w:tblLook w:val="04A0" w:firstRow="1" w:lastRow="0" w:firstColumn="1" w:lastColumn="0" w:noHBand="0" w:noVBand="1"/>
      </w:tblPr>
      <w:tblGrid>
        <w:gridCol w:w="2127"/>
        <w:gridCol w:w="2835"/>
        <w:gridCol w:w="1837"/>
      </w:tblGrid>
      <w:tr w:rsidR="00D825D0" w:rsidRPr="000D2C17" w:rsidTr="00D82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825D0">
            <w:pPr>
              <w:spacing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lastRenderedPageBreak/>
              <w:t>Departamento</w:t>
            </w:r>
          </w:p>
        </w:tc>
        <w:tc>
          <w:tcPr>
            <w:tcW w:w="2835" w:type="dxa"/>
            <w:hideMark/>
          </w:tcPr>
          <w:p w:rsidR="00D930A1" w:rsidRPr="000D2C17" w:rsidRDefault="00D930A1" w:rsidP="00D825D0">
            <w:pPr>
              <w:spacing w:line="360" w:lineRule="auto"/>
              <w:ind w:firstLine="3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IDC - Gasto Público 2015</w:t>
            </w:r>
          </w:p>
        </w:tc>
        <w:tc>
          <w:tcPr>
            <w:tcW w:w="1837" w:type="dxa"/>
            <w:hideMark/>
          </w:tcPr>
          <w:p w:rsidR="00D930A1" w:rsidRPr="000D2C17" w:rsidRDefault="00D930A1" w:rsidP="00D825D0">
            <w:pPr>
              <w:spacing w:line="360" w:lineRule="auto"/>
              <w:ind w:firstLine="3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IDH 2015</w:t>
            </w:r>
          </w:p>
        </w:tc>
      </w:tr>
      <w:tr w:rsidR="00D930A1"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Montevideo</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85,56</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0,841</w:t>
            </w:r>
          </w:p>
        </w:tc>
      </w:tr>
      <w:tr w:rsidR="00D825D0" w:rsidRPr="000D2C17" w:rsidTr="00D825D0">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Artigas</w:t>
            </w:r>
          </w:p>
        </w:tc>
        <w:tc>
          <w:tcPr>
            <w:tcW w:w="2835"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17,54</w:t>
            </w:r>
          </w:p>
        </w:tc>
        <w:tc>
          <w:tcPr>
            <w:tcW w:w="1837"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0,766</w:t>
            </w:r>
          </w:p>
        </w:tc>
      </w:tr>
      <w:tr w:rsidR="00D930A1"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Canelones</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44,45</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0,788</w:t>
            </w:r>
          </w:p>
        </w:tc>
      </w:tr>
      <w:tr w:rsidR="00D825D0" w:rsidRPr="000D2C17" w:rsidTr="00D825D0">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Cerro Largo</w:t>
            </w:r>
          </w:p>
        </w:tc>
        <w:tc>
          <w:tcPr>
            <w:tcW w:w="2835"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21,94</w:t>
            </w:r>
          </w:p>
        </w:tc>
        <w:tc>
          <w:tcPr>
            <w:tcW w:w="1837"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0,754</w:t>
            </w:r>
          </w:p>
        </w:tc>
      </w:tr>
      <w:tr w:rsidR="00D930A1"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Colonia</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65,91</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0,797</w:t>
            </w:r>
          </w:p>
        </w:tc>
      </w:tr>
      <w:tr w:rsidR="00D825D0" w:rsidRPr="000D2C17" w:rsidTr="00D825D0">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Durazno</w:t>
            </w:r>
          </w:p>
        </w:tc>
        <w:tc>
          <w:tcPr>
            <w:tcW w:w="2835"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36,56</w:t>
            </w:r>
          </w:p>
        </w:tc>
        <w:tc>
          <w:tcPr>
            <w:tcW w:w="1837"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0,771</w:t>
            </w:r>
          </w:p>
        </w:tc>
      </w:tr>
      <w:tr w:rsidR="00D930A1"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Flores</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45,83</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0,799</w:t>
            </w:r>
          </w:p>
        </w:tc>
      </w:tr>
      <w:tr w:rsidR="00D825D0" w:rsidRPr="000D2C17" w:rsidTr="00D825D0">
        <w:tc>
          <w:tcPr>
            <w:cnfStyle w:val="001000000000" w:firstRow="0" w:lastRow="0" w:firstColumn="1" w:lastColumn="0" w:oddVBand="0" w:evenVBand="0" w:oddHBand="0" w:evenHBand="0" w:firstRowFirstColumn="0" w:firstRowLastColumn="0" w:lastRowFirstColumn="0" w:lastRowLastColumn="0"/>
            <w:tcW w:w="2127" w:type="dxa"/>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Florida</w:t>
            </w:r>
          </w:p>
        </w:tc>
        <w:tc>
          <w:tcPr>
            <w:tcW w:w="2835"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39,13</w:t>
            </w:r>
          </w:p>
        </w:tc>
        <w:tc>
          <w:tcPr>
            <w:tcW w:w="1837"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0,796</w:t>
            </w:r>
          </w:p>
        </w:tc>
      </w:tr>
      <w:tr w:rsidR="00D825D0"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Lavalleja</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43,58</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0,784</w:t>
            </w:r>
          </w:p>
        </w:tc>
      </w:tr>
      <w:tr w:rsidR="00D825D0" w:rsidRPr="000D2C17" w:rsidTr="00D825D0">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Maldonado</w:t>
            </w:r>
          </w:p>
        </w:tc>
        <w:tc>
          <w:tcPr>
            <w:tcW w:w="2835"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61,64</w:t>
            </w:r>
          </w:p>
        </w:tc>
        <w:tc>
          <w:tcPr>
            <w:tcW w:w="1837"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0,8</w:t>
            </w:r>
          </w:p>
        </w:tc>
      </w:tr>
      <w:tr w:rsidR="00D825D0"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Paysandú́</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42,42</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0,784</w:t>
            </w:r>
          </w:p>
        </w:tc>
      </w:tr>
      <w:tr w:rsidR="00D825D0" w:rsidRPr="000D2C17" w:rsidTr="00D825D0">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Río Negro</w:t>
            </w:r>
          </w:p>
        </w:tc>
        <w:tc>
          <w:tcPr>
            <w:tcW w:w="2835"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38,59</w:t>
            </w:r>
          </w:p>
        </w:tc>
        <w:tc>
          <w:tcPr>
            <w:tcW w:w="1837"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0,796</w:t>
            </w:r>
          </w:p>
        </w:tc>
      </w:tr>
      <w:tr w:rsidR="00D825D0"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Rivera</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44,9</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0,756</w:t>
            </w:r>
          </w:p>
        </w:tc>
      </w:tr>
      <w:tr w:rsidR="00D825D0" w:rsidRPr="000D2C17" w:rsidTr="00D825D0">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Rocha</w:t>
            </w:r>
          </w:p>
        </w:tc>
        <w:tc>
          <w:tcPr>
            <w:tcW w:w="2835"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39,34</w:t>
            </w:r>
          </w:p>
        </w:tc>
        <w:tc>
          <w:tcPr>
            <w:tcW w:w="1837"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0,767</w:t>
            </w:r>
          </w:p>
        </w:tc>
      </w:tr>
      <w:tr w:rsidR="00D825D0"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Salto</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31,15</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0,775</w:t>
            </w:r>
          </w:p>
        </w:tc>
      </w:tr>
      <w:tr w:rsidR="00D825D0" w:rsidRPr="000D2C17" w:rsidTr="00D825D0">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San José</w:t>
            </w:r>
          </w:p>
        </w:tc>
        <w:tc>
          <w:tcPr>
            <w:tcW w:w="2835"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50,79</w:t>
            </w:r>
          </w:p>
        </w:tc>
        <w:tc>
          <w:tcPr>
            <w:tcW w:w="1837"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0,774</w:t>
            </w:r>
          </w:p>
        </w:tc>
      </w:tr>
      <w:tr w:rsidR="00D825D0"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Soriano</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34,28</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0,786</w:t>
            </w:r>
          </w:p>
        </w:tc>
      </w:tr>
      <w:tr w:rsidR="00D825D0" w:rsidRPr="000D2C17" w:rsidTr="00D825D0">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Tacuaremb</w:t>
            </w:r>
            <w:r>
              <w:rPr>
                <w:rFonts w:ascii="Times New Roman" w:eastAsia="Times New Roman" w:hAnsi="Times New Roman" w:cs="Times New Roman"/>
                <w:color w:val="000000"/>
                <w:sz w:val="20"/>
                <w:szCs w:val="20"/>
                <w:lang w:eastAsia="es-UY"/>
              </w:rPr>
              <w:t>ó</w:t>
            </w:r>
          </w:p>
        </w:tc>
        <w:tc>
          <w:tcPr>
            <w:tcW w:w="2835"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47,84</w:t>
            </w:r>
          </w:p>
        </w:tc>
        <w:tc>
          <w:tcPr>
            <w:tcW w:w="1837" w:type="dxa"/>
            <w:hideMark/>
          </w:tcPr>
          <w:p w:rsidR="00D930A1" w:rsidRPr="000D2C17" w:rsidRDefault="00D930A1" w:rsidP="00D825D0">
            <w:pPr>
              <w:spacing w:line="360" w:lineRule="auto"/>
              <w:ind w:firstLine="3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w:t>
            </w:r>
          </w:p>
        </w:tc>
      </w:tr>
      <w:tr w:rsidR="00D825D0" w:rsidRPr="000D2C17" w:rsidTr="00D82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930A1" w:rsidRPr="000D2C17" w:rsidRDefault="00D930A1" w:rsidP="00D825D0">
            <w:pPr>
              <w:spacing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Treinta y Tres</w:t>
            </w:r>
          </w:p>
        </w:tc>
        <w:tc>
          <w:tcPr>
            <w:tcW w:w="2835"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20,2</w:t>
            </w:r>
          </w:p>
        </w:tc>
        <w:tc>
          <w:tcPr>
            <w:tcW w:w="1837" w:type="dxa"/>
            <w:hideMark/>
          </w:tcPr>
          <w:p w:rsidR="00D930A1" w:rsidRPr="000D2C17" w:rsidRDefault="00D930A1" w:rsidP="00D825D0">
            <w:pPr>
              <w:spacing w:line="360" w:lineRule="auto"/>
              <w:ind w:firstLine="3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0,763</w:t>
            </w:r>
          </w:p>
        </w:tc>
      </w:tr>
    </w:tbl>
    <w:p w:rsidR="00D930A1" w:rsidRDefault="00D930A1" w:rsidP="00D825D0">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825D0">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825D0">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825D0">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825D0">
      <w:pPr>
        <w:spacing w:after="0" w:line="360" w:lineRule="auto"/>
        <w:ind w:firstLine="340"/>
        <w:jc w:val="both"/>
        <w:rPr>
          <w:rFonts w:ascii="Times New Roman" w:eastAsia="Times New Roman" w:hAnsi="Times New Roman" w:cs="Times New Roman"/>
          <w:sz w:val="24"/>
          <w:szCs w:val="24"/>
          <w:lang w:eastAsia="es-UY"/>
        </w:rPr>
      </w:pPr>
    </w:p>
    <w:p w:rsidR="00D930A1" w:rsidRDefault="00D930A1"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686508" w:rsidRDefault="00686508"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824D04" w:rsidRDefault="00824D04"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824D04" w:rsidRDefault="00824D04"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824D04" w:rsidRDefault="00824D04" w:rsidP="00D825D0">
      <w:pPr>
        <w:spacing w:after="0" w:line="360" w:lineRule="auto"/>
        <w:ind w:firstLine="340"/>
        <w:jc w:val="center"/>
        <w:rPr>
          <w:rFonts w:ascii="Times New Roman" w:eastAsia="Times New Roman" w:hAnsi="Times New Roman" w:cs="Times New Roman"/>
          <w:color w:val="000000"/>
          <w:sz w:val="20"/>
          <w:szCs w:val="20"/>
          <w:lang w:eastAsia="es-UY"/>
        </w:rPr>
      </w:pPr>
    </w:p>
    <w:p w:rsidR="00D930A1" w:rsidRPr="000D2C17" w:rsidRDefault="00D930A1" w:rsidP="00D825D0">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IDC (Gasto Público) e IDH departamental (2015)</w:t>
      </w:r>
    </w:p>
    <w:p w:rsidR="000D2C17" w:rsidRPr="000D2C17" w:rsidRDefault="00D930A1" w:rsidP="00D825D0">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Elaboración propia con datos de OPP (2018) y Horta et al (2017)</w:t>
      </w:r>
    </w:p>
    <w:p w:rsidR="000D2C17" w:rsidRPr="000D2C17" w:rsidRDefault="0003495C" w:rsidP="00D825D0">
      <w:pPr>
        <w:spacing w:after="0" w:line="360" w:lineRule="auto"/>
        <w:ind w:firstLine="340"/>
        <w:jc w:val="both"/>
        <w:rPr>
          <w:rFonts w:ascii="Times New Roman" w:eastAsia="Times New Roman" w:hAnsi="Times New Roman" w:cs="Times New Roman"/>
          <w:sz w:val="24"/>
          <w:szCs w:val="24"/>
          <w:lang w:eastAsia="es-UY"/>
        </w:rPr>
      </w:pPr>
      <w:r w:rsidRPr="00D825D0">
        <w:rPr>
          <w:rFonts w:ascii="Times New Roman" w:eastAsia="Times New Roman" w:hAnsi="Times New Roman" w:cs="Times New Roman"/>
          <w:noProof/>
          <w:color w:val="000000"/>
          <w:bdr w:val="none" w:sz="0" w:space="0" w:color="auto" w:frame="1"/>
          <w:lang w:eastAsia="es-UY"/>
        </w:rPr>
        <w:drawing>
          <wp:anchor distT="0" distB="0" distL="114300" distR="114300" simplePos="0" relativeHeight="251662336" behindDoc="0" locked="0" layoutInCell="1" allowOverlap="1">
            <wp:simplePos x="0" y="0"/>
            <wp:positionH relativeFrom="column">
              <wp:posOffset>967740</wp:posOffset>
            </wp:positionH>
            <wp:positionV relativeFrom="paragraph">
              <wp:posOffset>1062990</wp:posOffset>
            </wp:positionV>
            <wp:extent cx="3486150" cy="2382520"/>
            <wp:effectExtent l="38100" t="38100" r="38100" b="3683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6150" cy="2382520"/>
                    </a:xfrm>
                    <a:prstGeom prst="rect">
                      <a:avLst/>
                    </a:prstGeom>
                    <a:noFill/>
                    <a:ln w="38100">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D825D0" w:rsidRPr="00D825D0">
        <w:rPr>
          <w:rFonts w:ascii="Times New Roman" w:eastAsia="Times New Roman" w:hAnsi="Times New Roman" w:cs="Times New Roman"/>
          <w:color w:val="000000"/>
          <w:lang w:eastAsia="es-UY"/>
        </w:rPr>
        <w:t>A su vez, e</w:t>
      </w:r>
      <w:r w:rsidR="000D2C17" w:rsidRPr="000D2C17">
        <w:rPr>
          <w:rFonts w:ascii="Times New Roman" w:eastAsia="Times New Roman" w:hAnsi="Times New Roman" w:cs="Times New Roman"/>
          <w:color w:val="000000"/>
          <w:lang w:eastAsia="es-UY"/>
        </w:rPr>
        <w:t xml:space="preserve">s interesante ver la forma en que se relacionan estas variables. Según los datos presentados, para 2015 parece haber una correlación clara entre ambos indicadores, indicando que un mayor nivel de IDH se asocia a niveles más altos de desempeño del sector público en el departamento. El </w:t>
      </w:r>
      <w:r w:rsidR="00D825D0" w:rsidRPr="00D825D0">
        <w:rPr>
          <w:rFonts w:ascii="Times New Roman" w:eastAsia="Times New Roman" w:hAnsi="Times New Roman" w:cs="Times New Roman"/>
          <w:color w:val="000000"/>
          <w:lang w:eastAsia="es-UY"/>
        </w:rPr>
        <w:t>R</w:t>
      </w:r>
      <w:r w:rsidR="000D2C17" w:rsidRPr="000D2C17">
        <w:rPr>
          <w:rFonts w:ascii="Times New Roman" w:eastAsia="Times New Roman" w:hAnsi="Times New Roman" w:cs="Times New Roman"/>
          <w:color w:val="000000"/>
          <w:lang w:eastAsia="es-UY"/>
        </w:rPr>
        <w:t xml:space="preserve"> de Pearson para esta matriz de datos es de 0,75.</w:t>
      </w:r>
    </w:p>
    <w:p w:rsidR="00D930A1" w:rsidRPr="000D2C17" w:rsidRDefault="00D930A1" w:rsidP="00D825D0">
      <w:pPr>
        <w:spacing w:after="0" w:line="360" w:lineRule="auto"/>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Diagrama de correlación, IDH e ICD (Gestión pública)</w:t>
      </w:r>
    </w:p>
    <w:p w:rsidR="00D930A1" w:rsidRPr="000D2C17" w:rsidRDefault="00D930A1" w:rsidP="00D825D0">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Elaboración propia con datos de OPP (2018) y Horta et al (2017)</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color w:val="000000"/>
          <w:lang w:eastAsia="es-UY"/>
        </w:rPr>
        <w:lastRenderedPageBreak/>
        <w:t xml:space="preserve">El sistema político </w:t>
      </w:r>
      <w:r w:rsidR="00D930A1">
        <w:rPr>
          <w:rFonts w:ascii="Times New Roman" w:eastAsia="Times New Roman" w:hAnsi="Times New Roman" w:cs="Times New Roman"/>
          <w:b/>
          <w:bCs/>
          <w:color w:val="000000"/>
          <w:lang w:eastAsia="es-UY"/>
        </w:rPr>
        <w:t>u</w:t>
      </w:r>
      <w:r w:rsidRPr="000D2C17">
        <w:rPr>
          <w:rFonts w:ascii="Times New Roman" w:eastAsia="Times New Roman" w:hAnsi="Times New Roman" w:cs="Times New Roman"/>
          <w:b/>
          <w:bCs/>
          <w:color w:val="000000"/>
          <w:lang w:eastAsia="es-UY"/>
        </w:rPr>
        <w:t>ruguayo</w:t>
      </w:r>
    </w:p>
    <w:p w:rsidR="000D2C17" w:rsidRPr="000D2C17" w:rsidRDefault="00D825D0" w:rsidP="00D930A1">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anchor distT="0" distB="0" distL="114300" distR="114300" simplePos="0" relativeHeight="251668480" behindDoc="0" locked="0" layoutInCell="1" allowOverlap="1">
            <wp:simplePos x="0" y="0"/>
            <wp:positionH relativeFrom="column">
              <wp:posOffset>1310640</wp:posOffset>
            </wp:positionH>
            <wp:positionV relativeFrom="paragraph">
              <wp:posOffset>1459865</wp:posOffset>
            </wp:positionV>
            <wp:extent cx="2943225" cy="3509619"/>
            <wp:effectExtent l="38100" t="38100" r="28575" b="342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3225" cy="3509619"/>
                    </a:xfrm>
                    <a:prstGeom prst="rect">
                      <a:avLst/>
                    </a:prstGeom>
                    <a:noFill/>
                    <a:ln w="28575">
                      <a:solidFill>
                        <a:schemeClr val="tx1">
                          <a:lumMod val="65000"/>
                          <a:lumOff val="35000"/>
                        </a:schemeClr>
                      </a:solidFill>
                    </a:ln>
                  </pic:spPr>
                </pic:pic>
              </a:graphicData>
            </a:graphic>
          </wp:anchor>
        </w:drawing>
      </w:r>
      <w:r w:rsidR="000D2C17" w:rsidRPr="000D2C17">
        <w:rPr>
          <w:rFonts w:ascii="Times New Roman" w:eastAsia="Times New Roman" w:hAnsi="Times New Roman" w:cs="Times New Roman"/>
          <w:color w:val="000000"/>
          <w:lang w:eastAsia="es-UY"/>
        </w:rPr>
        <w:t>En un contexto de deterioro global de la democracia</w:t>
      </w:r>
      <w:r w:rsidR="00D930A1">
        <w:rPr>
          <w:rFonts w:ascii="Times New Roman" w:eastAsia="Times New Roman" w:hAnsi="Times New Roman" w:cs="Times New Roman"/>
          <w:color w:val="000000"/>
          <w:lang w:eastAsia="es-UY"/>
        </w:rPr>
        <w:t xml:space="preserve">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{"citationID":"hEe2pxr8","properties":{"formattedCitation":"(Repucci &amp; Slipowitz, 2021)","plainCitation":"(Repucci &amp; Slipowitz, 2021)","noteIndex":0},"citationItems":[{"id":172,"uris":["http://zotero.org/users/10325949/items/RUEMB2S2"],"itemData":{"id":172,"type":"document","publisher":"Freedom House","title":"Democracy under siege","author":[{"family":"Repucci","given":"S."},{"family":"Slipowitz","given":"A."}],"issued":{"date-parts":[["2021"]]}}}],"schema":"https://github.com/citation-style-language/schema/raw/master/csl-citation.json"}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(Repucci &amp; Slipowitz, 2021)</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w:t>
      </w:r>
      <w:r w:rsidR="000D2C17" w:rsidRPr="000D2C17">
        <w:rPr>
          <w:rFonts w:ascii="Times New Roman" w:eastAsia="Times New Roman" w:hAnsi="Times New Roman" w:cs="Times New Roman"/>
          <w:color w:val="000000"/>
          <w:lang w:eastAsia="es-UY"/>
        </w:rPr>
        <w:t xml:space="preserve"> Uruguay no parece estar en una situación preocupante. Los índices más populares de medición de la democracia lo sitúan entre las 20 mejores democracias del mundo</w:t>
      </w:r>
      <w:r w:rsidR="00D930A1">
        <w:rPr>
          <w:rFonts w:ascii="Times New Roman" w:eastAsia="Times New Roman" w:hAnsi="Times New Roman" w:cs="Times New Roman"/>
          <w:color w:val="000000"/>
          <w:lang w:eastAsia="es-UY"/>
        </w:rPr>
        <w:t>, destacando a este país</w:t>
      </w:r>
      <w:r w:rsidR="000D2C17" w:rsidRPr="000D2C17">
        <w:rPr>
          <w:rFonts w:ascii="Times New Roman" w:eastAsia="Times New Roman" w:hAnsi="Times New Roman" w:cs="Times New Roman"/>
          <w:color w:val="000000"/>
          <w:lang w:eastAsia="es-UY"/>
        </w:rPr>
        <w:t xml:space="preserve"> como la única democracia plena de la región latinoamericana</w:t>
      </w:r>
      <w:r w:rsidR="00D930A1">
        <w:rPr>
          <w:rFonts w:ascii="Times New Roman" w:eastAsia="Times New Roman" w:hAnsi="Times New Roman" w:cs="Times New Roman"/>
          <w:color w:val="000000"/>
          <w:lang w:eastAsia="es-UY"/>
        </w:rPr>
        <w:t xml:space="preserve">. Un ejemplo claro son los resultados que presenta el Índice de Democracia creado por el medio británico The Economist </w:t>
      </w:r>
      <w:r w:rsidR="00D930A1">
        <w:rPr>
          <w:rFonts w:ascii="Times New Roman" w:eastAsia="Times New Roman" w:hAnsi="Times New Roman" w:cs="Times New Roman"/>
          <w:color w:val="000000"/>
          <w:lang w:eastAsia="es-UY"/>
        </w:rPr>
        <w:fldChar w:fldCharType="begin"/>
      </w:r>
      <w:r w:rsidR="00D930A1">
        <w:rPr>
          <w:rFonts w:ascii="Times New Roman" w:eastAsia="Times New Roman" w:hAnsi="Times New Roman" w:cs="Times New Roman"/>
          <w:color w:val="000000"/>
          <w:lang w:eastAsia="es-UY"/>
        </w:rPr>
        <w:instrText xml:space="preserve"> ADDIN ZOTERO_ITEM CSL_CITATION {"citationID":"y53J8mWn","properties":{"formattedCitation":"(The Economist, 2021)","plainCitation":"(The Economist, 2021)","noteIndex":0},"citationItems":[{"id":180,"uris":["http://zotero.org/users/10325949/items/EDJVEZDT"],"itemData":{"id":180,"type":"document","title":"Democracy Index 2021: the China challenge","URL":"https://www.eiu.com/n/campaigns/democracy-index-2021/","author":[{"family":"The Economist","given":""}],"issued":{"date-parts":[["2021"]]}}}],"schema":"https://github.com/citation-style-language/schema/raw/master/csl-citation.json"} </w:instrText>
      </w:r>
      <w:r w:rsidR="00D930A1">
        <w:rPr>
          <w:rFonts w:ascii="Times New Roman" w:eastAsia="Times New Roman" w:hAnsi="Times New Roman" w:cs="Times New Roman"/>
          <w:color w:val="000000"/>
          <w:lang w:eastAsia="es-UY"/>
        </w:rPr>
        <w:fldChar w:fldCharType="separate"/>
      </w:r>
      <w:r w:rsidR="00D930A1" w:rsidRPr="00D930A1">
        <w:rPr>
          <w:rFonts w:ascii="Times New Roman" w:hAnsi="Times New Roman" w:cs="Times New Roman"/>
        </w:rPr>
        <w:t>(The Economist, 2021)</w:t>
      </w:r>
      <w:r w:rsidR="00D930A1">
        <w:rPr>
          <w:rFonts w:ascii="Times New Roman" w:eastAsia="Times New Roman" w:hAnsi="Times New Roman" w:cs="Times New Roman"/>
          <w:color w:val="000000"/>
          <w:lang w:eastAsia="es-UY"/>
        </w:rPr>
        <w:fldChar w:fldCharType="end"/>
      </w:r>
      <w:r w:rsidR="00D930A1">
        <w:rPr>
          <w:rFonts w:ascii="Times New Roman" w:eastAsia="Times New Roman" w:hAnsi="Times New Roman" w:cs="Times New Roman"/>
          <w:color w:val="000000"/>
          <w:lang w:eastAsia="es-UY"/>
        </w:rPr>
        <w:t>.</w:t>
      </w:r>
    </w:p>
    <w:p w:rsidR="00D930A1" w:rsidRPr="000D2C17" w:rsidRDefault="00D930A1" w:rsidP="00D930A1">
      <w:pPr>
        <w:spacing w:after="0" w:line="360" w:lineRule="auto"/>
        <w:ind w:firstLine="340"/>
        <w:jc w:val="center"/>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z w:val="20"/>
          <w:szCs w:val="20"/>
          <w:lang w:val="en-NZ" w:eastAsia="es-UY"/>
        </w:rPr>
        <w:t>Democracy Index. The Economist 2021</w:t>
      </w:r>
    </w:p>
    <w:p w:rsidR="00D930A1" w:rsidRPr="000D2C17" w:rsidRDefault="00D930A1" w:rsidP="00D930A1">
      <w:pPr>
        <w:spacing w:after="0" w:line="360" w:lineRule="auto"/>
        <w:ind w:firstLine="340"/>
        <w:jc w:val="center"/>
        <w:rPr>
          <w:rFonts w:ascii="Times New Roman" w:eastAsia="Times New Roman" w:hAnsi="Times New Roman" w:cs="Times New Roman"/>
          <w:sz w:val="24"/>
          <w:szCs w:val="24"/>
          <w:lang w:val="en-NZ" w:eastAsia="es-UY"/>
        </w:rPr>
      </w:pPr>
      <w:r w:rsidRPr="000D2C17">
        <w:rPr>
          <w:rFonts w:ascii="Times New Roman" w:eastAsia="Times New Roman" w:hAnsi="Times New Roman" w:cs="Times New Roman"/>
          <w:color w:val="000000"/>
          <w:sz w:val="20"/>
          <w:szCs w:val="20"/>
          <w:lang w:val="en-NZ" w:eastAsia="es-UY"/>
        </w:rPr>
        <w:t>Fuente: The Economist</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Empero, si algo distingue a la democracia uruguaya en la región son sus partidos políticos al punto que, enfatizando su centralidad y estabilidad como principales agregadores de preferencias, la democracia uruguaya ha sido catalogada como “partidocracia”</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{"citationID":"N8ivRMI6","properties":{"formattedCitation":"(Caetano et\\uc0\\u160{}al., 1987)","plainCitation":"(Caetano et al., 1987)","noteIndex":0},"citationItems":[{"id":154,"uris":["http://zotero.org/users/10325949/items/TYDWAA68"],"itemData":{"id":154,"type":"article-journal","container-title":"Cuadernos del Claeh","title":"La partidocracia uruguaya. Historia y teoría de la centralidad de los partidos políticos.","volume":"44","author":[{"family":"Caetano","given":"G."},{"family":"Rilla","given":"J."},{"family":"Pérez","given":"R."}],"issued":{"date-parts":[["1987"]]}}}],"schema":"https://github.com/citation-style-language/schema/raw/master/csl-citation.json"}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szCs w:val="24"/>
        </w:rPr>
        <w:t>(Caetano et al., 1987)</w:t>
      </w:r>
      <w:r w:rsidR="001F3D84">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Así, desde la restauración democrática Uruguay </w:t>
      </w:r>
      <w:r w:rsidR="001F3D84">
        <w:rPr>
          <w:rFonts w:ascii="Times New Roman" w:eastAsia="Times New Roman" w:hAnsi="Times New Roman" w:cs="Times New Roman"/>
          <w:color w:val="000000"/>
          <w:lang w:eastAsia="es-UY"/>
        </w:rPr>
        <w:t>ha sido sistemáticamente caracterizado</w:t>
      </w:r>
      <w:r w:rsidRPr="000D2C17">
        <w:rPr>
          <w:rFonts w:ascii="Times New Roman" w:eastAsia="Times New Roman" w:hAnsi="Times New Roman" w:cs="Times New Roman"/>
          <w:color w:val="000000"/>
          <w:lang w:eastAsia="es-UY"/>
        </w:rPr>
        <w:t xml:space="preserve"> como una democracia estable, con partidos altamente institucionalizados</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{"citationID":"0nJWIqeJ","properties":{"formattedCitation":"(Mainwaring &amp; Scully, 1995; Payne et\\uc0\\u160{}al., 2006; Pi\\uc0\\u241{}eiro Rodr\\uc0\\u237{}guez &amp; Rosenblatt, 2020)","plainCitation":"(Mainwaring &amp; Scully, 1995; Payne et al., 2006; Piñeiro Rodríguez &amp; Rosenblatt, 2020)","noteIndex":0},"citationItems":[{"id":182,"uris":["http://zotero.org/users/10325949/items/2SVWGDKN"],"itemData":{"id":182,"type":"article-journal","abstract":"RESUMEN: Estos autores señalan que la institucionalización de un sistema de partidos es importante en el proceso de consolidación democrática en la mayoría de los países latinoamericanos. Un sistema de partidos institucionalizado implica estabilidad en la competición intrapartidista, la existencia de partidos con raíces estables en la sociedad, la legitimidad de partidos, elecciones e instituciones, y unas organizaciones partidistas con reglas y estructuras razonablemente estables. También establecen diferencias en el grado de institucionalización y tratan de caracterizar los distintos sistemas de partidos en América Latina.ABSTRACT: These authors argue that institutionalizing a party system is important to the process of democratic consolidation in mast of Latin American countries. An institutionalized party system implies stability in interparty competition, the existence of parties that have stablee roots in society, the legitimacy of parties elections and institutions and party organizations with reasonably stablee rules and estructures. They also establish differences in the degree of institutionalization and try to charaterize the district party systems in Latin America.","container-title":"América Latina Hoy","DOI":"10.14201/alh.2107","ISSN":"2340-4396, 1130-2887","journalAbbreviation":"Am. Lat. Hoy. Rev. Cienc. Soc.","source":"DOI.org (Crossref)","title":"La institucionalización de los sistemas de partido en la América Latina","URL":"https://revistas.usal.es/index.php/1130-2887/article/view/2107","volume":"16","author":[{"family":"Mainwaring","given":"Scott"},{"family":"Scully","given":"Timothy R."}],"accessed":{"date-parts":[["2022",11,29]]},"issued":{"date-parts":[["1995"]]}}},{"id":166,"uris":["http://zotero.org/users/10325949/items/BWR8HIMC"],"itemData":{"id":166,"type":"book","edition":"Ed. rev","event-place":"Washington, DC","ISBN":"978-1-59782-018-9","language":"spa","number-of-pages":"348","publisher":"Banco Interamericano de Desarrollo","publisher-place":"Washington, DC","source":"K10plus ISBN","title":"La política importa: democracia y desarrollo en América Latina","title-short":"La política importa","editor":[{"family":"Payne","given":"J. Mark"},{"family":"Zovatto G.","given":"Daniel"},{"family":"Mateo Díaz","given":"Mercedes"}],"issued":{"date-parts":[["2006"]]}}},{"id":169,"uris":["http://zotero.org/users/10325949/items/J92A5M22"],"itemData":{"id":169,"type":"article-journal","abstract":"Party system institutionalization (PSI) is a critical dimension of modern democracies. However, conventional approaches to institutionalization do not include party systems’ ability to adapt and respond to challenges that emanate from society, one of the crucial traits in Huntington’s definition of institutionalization. We discuss conventional approaches to the analysis of PSI. Building upon the idea of social orders put forth by North, Wallis, and Weingast, we argue that the analysis of institutionalization at the level of party systems must consider the system’s ability to provide open access and to include all sectors: that is, the system’s ability to incorporate demands that emanate from society. We propose a new conceptualization and operationalization of PSI, and we present a new data set of PSI indicators for 18 Latin American countries. Finally, we analyze the data to assess the level of PSI and type of party system in each Latin American country.","container-title":"Party Politics","DOI":"10.1177/1354068818777895","ISSN":"1354-0688, 1460-3683","issue":"2","journalAbbreviation":"Party Politics","language":"en","page":"249-260","source":"DOI.org (Crossref)","title":"Stability and incorporation: Toward a new concept of party system institutionalization","title-short":"Stability and incorporation","volume":"26","author":[{"family":"Piñeiro Rodríguez","given":"Rafael"},{"family":"Rosenblatt","given":"Fernando"}],"issued":{"date-parts":[["2020",3]]}}}],"schema":"https://github.com/citation-style-language/schema/raw/master/csl-citation.json"}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szCs w:val="24"/>
        </w:rPr>
        <w:t>(Mainwaring &amp; Scully, 1995; Payne et al., 2006; Piñeiro Rodríguez &amp; Rosenblatt, 2020)</w:t>
      </w:r>
      <w:r w:rsidR="001F3D84">
        <w:rPr>
          <w:rFonts w:ascii="Times New Roman" w:eastAsia="Times New Roman" w:hAnsi="Times New Roman" w:cs="Times New Roman"/>
          <w:color w:val="000000"/>
          <w:lang w:eastAsia="es-UY"/>
        </w:rPr>
        <w:fldChar w:fldCharType="end"/>
      </w:r>
      <w:r w:rsidR="001F3D84">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w:t>
      </w:r>
    </w:p>
    <w:p w:rsidR="000D2C17" w:rsidRPr="000D2C17" w:rsidRDefault="000D2C17" w:rsidP="0003495C">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xml:space="preserve">Los </w:t>
      </w:r>
      <w:r w:rsidR="001F3D84">
        <w:rPr>
          <w:rFonts w:ascii="Times New Roman" w:eastAsia="Times New Roman" w:hAnsi="Times New Roman" w:cs="Times New Roman"/>
          <w:color w:val="000000"/>
          <w:lang w:eastAsia="es-UY"/>
        </w:rPr>
        <w:t xml:space="preserve">siguientes </w:t>
      </w:r>
      <w:r w:rsidRPr="000D2C17">
        <w:rPr>
          <w:rFonts w:ascii="Times New Roman" w:eastAsia="Times New Roman" w:hAnsi="Times New Roman" w:cs="Times New Roman"/>
          <w:color w:val="000000"/>
          <w:lang w:eastAsia="es-UY"/>
        </w:rPr>
        <w:t>gráficos buscan comparar el sistema político uruguayo con la región en tres dimensiones que la literatura ha señalado relevantes: la fragmentación del sistema</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{"citationID":"XCrfJUfy","properties":{"formattedCitation":"(Cox, 1997; Laakso &amp; Taagepera, 1979)","plainCitation":"(Cox, 1997; Laakso &amp; Taagepera, 1979)","noteIndex":0},"citationItems":[{"id":155,"uris":["http://zotero.org/users/10325949/items/AS8YFA7X"],"itemData":{"id":155,"type":"book","abstract":"Popular elections are at the heart of representative democracy. Thus, understanding the laws and practices that govern such elections is essential to understanding modern democracy. In this book, Cox views electoral laws as posing a variety of coordination problems that political forces must solve. Coordination problems - and with them the necessity of negotiating withdrawals, strategic voting, and other species of strategic coordination - arise in all electoral systems. This is the first book that employs a unified game-theoretic model to study strategic coordination worldwide and that relies primarily on constituency-level rather than national aggregate data in testing theoretical propositions about the effects of electoral laws. This is also the first book that considers not just what happens when political forces succeed in solving the coordination problems inherent in the electoral system they face but also what happens when they fail. Winner of the Wilson Prize for the best book in political science published in 1997, the Luebbart Prize awarded to the best book in comparative politics, and the prize from the American Political Science association for the best book in political economy","event-place":"Cambridge, U.K.","ISBN":"978-1-316-14070-3","language":"eng","note":"OCLC: 891590997","publisher":"Cambridge University Press","publisher-place":"Cambridge, U.K.","source":"Open WorldCat","title":"Making votes count: strategic coordination in the world's electoral systems","title-short":"Making votes count","author":[{"family":"Cox","given":"Gary W."}],"issued":{"date-parts":[["1997"]]}}},{"id":161,"uris":["http://zotero.org/users/10325949/items/XXN7QC8X"],"itemData":{"id":161,"type":"article-journal","container-title":"Comparative Political Studies","DOI":"10.1177/001041407901200101","ISSN":"0010-4140, 1552-3829","issue":"1","journalAbbreviation":"Comparative Political Studies","language":"en","page":"3-27","source":"DOI.org (Crossref)","title":"“Effective” Number of Parties: A Measure with Application to West Europe","title-short":"“Effective” Number of Parties","volume":"12","author":[{"family":"Laakso","given":"Markku"},{"family":"Taagepera","given":"Rein"}],"issued":{"date-parts":[["1979",4]]}}}],"schema":"https://github.com/citation-style-language/schema/raw/master/csl-citation.json"}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rPr>
        <w:t>(Cox, 1997; Laakso &amp; Taagepera, 1979)</w:t>
      </w:r>
      <w:r w:rsidR="001F3D84">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la estabilidad de la competencia en el tiempo o volatilidad electoral</w:t>
      </w:r>
      <w:r w:rsidR="00E56EF2">
        <w:rPr>
          <w:rFonts w:ascii="Times New Roman" w:eastAsia="Times New Roman" w:hAnsi="Times New Roman" w:cs="Times New Roman"/>
          <w:color w:val="000000"/>
          <w:lang w:eastAsia="es-UY"/>
        </w:rPr>
        <w:t xml:space="preserve"> </w:t>
      </w:r>
      <w:r w:rsidR="00E56EF2">
        <w:rPr>
          <w:rFonts w:ascii="Times New Roman" w:eastAsia="Times New Roman" w:hAnsi="Times New Roman" w:cs="Times New Roman"/>
          <w:color w:val="000000"/>
          <w:lang w:eastAsia="es-UY"/>
        </w:rPr>
        <w:fldChar w:fldCharType="begin"/>
      </w:r>
      <w:r w:rsidR="00E56EF2">
        <w:rPr>
          <w:rFonts w:ascii="Times New Roman" w:eastAsia="Times New Roman" w:hAnsi="Times New Roman" w:cs="Times New Roman"/>
          <w:color w:val="000000"/>
          <w:lang w:eastAsia="es-UY"/>
        </w:rPr>
        <w:instrText xml:space="preserve"> ADDIN ZOTERO_ITEM CSL_CITATION {"citationID":"ruvF96Jt","properties":{"formattedCitation":"(Pedersen, 1979; Powell &amp; Tucker, 2014)","plainCitation":"(Pedersen, 1979; Powell &amp; Tucker, 2014)","noteIndex":0},"citationItems":[{"id":168,"uris":["http://zotero.org/users/10325949/items/2XLR69KR"],"itemData":{"id":168,"type":"article-journal","container-title":"European Journal of Political Research","DOI":"10.1023/A:1006878715574","ISSN":"03044130","issue":"26","page":"83-98","source":"DOI.org (Crossref)","title":"The dynamics of West European party systems: Changing patterns of electoral volatility","volume":"1","author":[{"family":"Pedersen","given":"Mogens N."}],"issued":{"date-parts":[["1979"]]}}},{"id":184,"uris":["http://zotero.org/users/10325949/items/L328D5YG"],"itemData":{"id":184,"type":"article-journal","abstract":"This article provides a detailed set of coding rules for disaggregating electoral volatility into two components: volatility caused by new party entry and old party exit, and volatility caused by vote switching across existing parties. After providing an overview of both types of volatility in post-communist countries, the causes of volatility are analysed using a larger dataset than those used in previous studies. The results are startling: most findings based on elections in post-communist countries included in previous studies disappear. Instead, entry and exit volatility is found to be largely a function of long-term economic recovery, and it becomes clear that very little is known about what causes ‘party switching’ volatility. As a robustness test of this latter result, the authors demonstrate that systematic explanations for party-switching volatility in Western Europe can indeed be found.","container-title":"British Journal of Political Science","DOI":"10.1017/S0007123412000531","ISSN":"0007-1234, 1469-2112","issue":"1","journalAbbreviation":"Brit. J. Polit. Sci.","language":"en","page":"123-147","source":"DOI.org (Crossref)","title":"Revisiting Electoral Volatility in Post-Communist Countries: New Data, New Results and New Approaches","title-short":"Revisiting Electoral Volatility in Post-Communist Countries","volume":"44","author":[{"family":"Powell","given":"Eleanor Neff"},{"family":"Tucker","given":"Joshua A."}],"issued":{"date-parts":[["2014",1]]}}}],"schema":"https://github.com/citation-style-language/schema/raw/master/csl-citation.json"}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(Pedersen, 1979; Powell &amp; Tucker, 2014)</w:t>
      </w:r>
      <w:r w:rsidR="00E56EF2">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y la intensidad y diferencia en las preferencias ideológicas o polarización</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{"citationID":"y8bh0CMj","properties":{"formattedCitation":"(Dalton, 2008; Sartori, 1991)","plainCitation":"(Dalton, 2008; Sartori, 1991)","noteIndex":0},"citationItems":[{"id":157,"uris":["http://zotero.org/users/10325949/items/D49XLL3G"],"itemData":{"id":157,"type":"article-journal","abstract":"Previous research claims that the number of parties affects the representation of social cleavages in voting behavior, election turnout, patterns of political conflict, and other party system effects. This article argues that research typically counts the quantity of parties and that often the more important property is the quality of party competition—the polarization of political parties within a party system. The author first discusses why polarization is important to study. Second, the author provides a new measurement of party system polarization based on voter perceptions of party positions in the Comparative Study of Electoral Systems, which includes more than 50 separate elections from established and developing democracies. Third, the author compares party polarization and party fractionalization as influences on cleavage-based and ideological voting and as predictors of turnout levels. The finding is that party polarization is empirically more important in explaining these outcomes.","container-title":"Comparative Political Studies","DOI":"10.1177/0010414008315860","ISSN":"0010-4140, 1552-3829","issue":"7","journalAbbreviation":"Comparative Political Studies","language":"en","page":"899-920","source":"DOI.org (Crossref)","title":"The Quantity and the Quality of Party Systems: Party System Polarization, Its Measurement, and Its Consequences","title-short":"The Quantity and the Quality of Party Systems","volume":"41","author":[{"family":"Dalton","given":"Russell J."}],"issued":{"date-parts":[["2008",7]]}}},{"id":176,"uris":["http://zotero.org/users/10325949/items/GGC5EGN2"],"itemData":{"id":176,"type":"article-journal","container-title":"Revista de Ciencia Política","issue":"1-2","page":"39-73","title":"Polarización, fragmentación y competencia en las democracias occidentales","volume":"13","author":[{"family":"Sartori","given":"G."}],"issued":{"date-parts":[["1991"]]}}}],"schema":"https://github.com/citation-style-language/schema/raw/master/csl-citation.json"}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rPr>
        <w:t>(Dalton, 2008; Sartori, 1991)</w:t>
      </w:r>
      <w:r w:rsidR="001F3D84">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Altos valores en estas tres variables pueden componer una difícil combinación y los partidos sufrir dificultades que se trasladen a la gobernabilidad democrática, al tiempo que niveles bajos y constantes en las tres variables pueden </w:t>
      </w:r>
      <w:r w:rsidRPr="000D2C17">
        <w:rPr>
          <w:rFonts w:ascii="Times New Roman" w:eastAsia="Times New Roman" w:hAnsi="Times New Roman" w:cs="Times New Roman"/>
          <w:color w:val="000000"/>
          <w:lang w:eastAsia="es-UY"/>
        </w:rPr>
        <w:lastRenderedPageBreak/>
        <w:t>también ser síntoma de sistemas poco saludables en términos de representación</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{"citationID":"d0Q6ZsQa","properties":{"formattedCitation":"(Moraes et\\uc0\\u160{}al., 2021)","plainCitation":"(Moraes et al., 2021)","noteIndex":0},"citationItems":[{"id":163,"uris":["http://zotero.org/users/10325949/items/JK2I4AGC"],"itemData":{"id":163,"type":"chapter","container-title":"De la estabilidad al equilibrio inestable: elecciones y comportamiento electoral","event-place":"Montevideo, Uruguay","publisher":"Departamento de Ciencia Política, FCS-Udelar","publisher-place":"Montevideo, Uruguay","title":"We are fantastic. Are we?","author":[{"family":"Moraes","given":"J."},{"family":"Acosta y Lara","given":"F."},{"family":"Martínez","given":"G."},{"family":"Wilchinski","given":"M."}],"issued":{"date-parts":[["2021"]]}}}],"schema":"https://github.com/citation-style-language/schema/raw/master/csl-citation.json"}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szCs w:val="24"/>
        </w:rPr>
        <w:t>(Moraes et al., 2021)</w:t>
      </w:r>
      <w:r w:rsidR="001F3D84">
        <w:rPr>
          <w:rFonts w:ascii="Times New Roman" w:eastAsia="Times New Roman" w:hAnsi="Times New Roman" w:cs="Times New Roman"/>
          <w:color w:val="000000"/>
          <w:lang w:eastAsia="es-UY"/>
        </w:rPr>
        <w:fldChar w:fldCharType="end"/>
      </w:r>
      <w:r w:rsidR="001F3D84">
        <w:rPr>
          <w:rFonts w:ascii="Times New Roman" w:eastAsia="Times New Roman" w:hAnsi="Times New Roman" w:cs="Times New Roman"/>
          <w:color w:val="000000"/>
          <w:lang w:eastAsia="es-UY"/>
        </w:rPr>
        <w:t>.</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inline distT="0" distB="0" distL="0" distR="0">
            <wp:extent cx="5133975" cy="4162425"/>
            <wp:effectExtent l="38100" t="38100" r="47625" b="476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4162425"/>
                    </a:xfrm>
                    <a:prstGeom prst="rect">
                      <a:avLst/>
                    </a:prstGeom>
                    <a:noFill/>
                    <a:ln w="38100">
                      <a:solidFill>
                        <a:schemeClr val="bg2">
                          <a:lumMod val="50000"/>
                        </a:schemeClr>
                      </a:solidFill>
                    </a:ln>
                  </pic:spPr>
                </pic:pic>
              </a:graphicData>
            </a:graphic>
          </wp:inline>
        </w:drawing>
      </w:r>
    </w:p>
    <w:p w:rsidR="001F3D84" w:rsidRPr="000D2C17" w:rsidRDefault="001F3D84" w:rsidP="001F3D84">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Volatilidad, Fragmentación y polarización en América Latina.</w:t>
      </w:r>
    </w:p>
    <w:p w:rsidR="001F3D84" w:rsidRPr="000D2C17" w:rsidRDefault="001F3D84" w:rsidP="001F3D84">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 xml:space="preserve">Fuente: </w:t>
      </w:r>
      <w:r>
        <w:rPr>
          <w:rFonts w:ascii="Times New Roman" w:eastAsia="Times New Roman" w:hAnsi="Times New Roman" w:cs="Times New Roman"/>
          <w:color w:val="000000"/>
          <w:sz w:val="20"/>
          <w:szCs w:val="20"/>
          <w:lang w:eastAsia="es-UY"/>
        </w:rPr>
        <w:fldChar w:fldCharType="begin"/>
      </w:r>
      <w:r w:rsidR="00B94A0A">
        <w:rPr>
          <w:rFonts w:ascii="Times New Roman" w:eastAsia="Times New Roman" w:hAnsi="Times New Roman" w:cs="Times New Roman"/>
          <w:color w:val="000000"/>
          <w:sz w:val="20"/>
          <w:szCs w:val="20"/>
          <w:lang w:eastAsia="es-UY"/>
        </w:rPr>
        <w:instrText xml:space="preserve"> ADDIN ZOTERO_ITEM CSL_CITATION {"citationID":"ctnJxm6L","properties":{"formattedCitation":"(Moraes et\\uc0\\u160{}al., 2021)","plainCitation":"(Moraes et al., 2021)","dontUpdate":true,"noteIndex":0},"citationItems":[{"id":163,"uris":["http://zotero.org/users/10325949/items/JK2I4AGC"],"itemData":{"id":163,"type":"chapter","container-title":"De la estabilidad al equilibrio inestable: elecciones y comportamiento electoral","event-place":"Montevideo, Uruguay","publisher":"Departamento de Ciencia Política, FCS-Udelar","publisher-place":"Montevideo, Uruguay","title":"We are fantastic. Are we?","author":[{"family":"Moraes","given":"J."},{"family":"Acosta y Lara","given":"F."},{"family":"Martínez","given":"G."},{"family":"Wilchinski","given":"M."}],"issued":{"date-parts":[["2021"]]}}}],"schema":"https://github.com/citation-style-language/schema/raw/master/csl-citation.json"} </w:instrText>
      </w:r>
      <w:r>
        <w:rPr>
          <w:rFonts w:ascii="Times New Roman" w:eastAsia="Times New Roman" w:hAnsi="Times New Roman" w:cs="Times New Roman"/>
          <w:color w:val="000000"/>
          <w:sz w:val="20"/>
          <w:szCs w:val="20"/>
          <w:lang w:eastAsia="es-UY"/>
        </w:rPr>
        <w:fldChar w:fldCharType="separate"/>
      </w:r>
      <w:r w:rsidRPr="001F3D84">
        <w:rPr>
          <w:rFonts w:ascii="Times New Roman" w:hAnsi="Times New Roman" w:cs="Times New Roman"/>
          <w:sz w:val="20"/>
          <w:szCs w:val="24"/>
        </w:rPr>
        <w:t xml:space="preserve">Moraes et al. </w:t>
      </w:r>
      <w:r>
        <w:rPr>
          <w:rFonts w:ascii="Times New Roman" w:hAnsi="Times New Roman" w:cs="Times New Roman"/>
          <w:sz w:val="20"/>
          <w:szCs w:val="24"/>
        </w:rPr>
        <w:t>(</w:t>
      </w:r>
      <w:r w:rsidRPr="001F3D84">
        <w:rPr>
          <w:rFonts w:ascii="Times New Roman" w:hAnsi="Times New Roman" w:cs="Times New Roman"/>
          <w:sz w:val="20"/>
          <w:szCs w:val="24"/>
        </w:rPr>
        <w:t>2021)</w:t>
      </w:r>
      <w:r>
        <w:rPr>
          <w:rFonts w:ascii="Times New Roman" w:eastAsia="Times New Roman" w:hAnsi="Times New Roman" w:cs="Times New Roman"/>
          <w:color w:val="000000"/>
          <w:sz w:val="20"/>
          <w:szCs w:val="20"/>
          <w:lang w:eastAsia="es-UY"/>
        </w:rPr>
        <w:fldChar w:fldCharType="end"/>
      </w:r>
    </w:p>
    <w:p w:rsidR="00D825D0" w:rsidRDefault="00D825D0" w:rsidP="000D2C17">
      <w:pPr>
        <w:spacing w:after="0" w:line="360" w:lineRule="auto"/>
        <w:ind w:firstLine="340"/>
        <w:jc w:val="both"/>
        <w:rPr>
          <w:rFonts w:ascii="Times New Roman" w:eastAsia="Times New Roman" w:hAnsi="Times New Roman" w:cs="Times New Roman"/>
          <w:color w:val="000000"/>
          <w:lang w:eastAsia="es-UY"/>
        </w:rPr>
      </w:pP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Como se puede ver, para este conjunto de elecciones de la década de 2010, Uruguay 2014 tiene promedios de volatilidad y fragmentación muchos menores que el promedio regional, aunque la polarización tiene un valor más alto que la media. </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Sin embargo, las últimas elecciones de 2019 rompieron con la estabilidad imperante desde la restauración democrática: aumentó notoriamente la volatilidad intra y extra sistémica; hubo cambios en la correlación de fuerzas entre partidos y a la interna de estos; y hubo cambios en la oferta programática con el surgimiento de nuevos partidos</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1F3D84">
        <w:rPr>
          <w:rFonts w:ascii="Times New Roman" w:eastAsia="Times New Roman" w:hAnsi="Times New Roman" w:cs="Times New Roman"/>
          <w:color w:val="000000"/>
          <w:lang w:eastAsia="es-UY"/>
        </w:rPr>
        <w:instrText xml:space="preserve"> ADDIN ZOTERO_ITEM CSL_CITATION {"citationID":"EGzbkDfx","properties":{"formattedCitation":"(Moraes &amp; P\\uc0\\u233{}rez, 2021)","plainCitation":"(Moraes &amp; Pérez, 2021)","noteIndex":0},"citationItems":[{"id":164,"uris":["http://zotero.org/users/10325949/items/SWNV5R8G"],"itemData":{"id":164,"type":"chapter","container-title":"De la estabilidad al equilibrio inestable: elecciones y comportamiento electoral","event-place":"Montevideo, Uruguay","publisher":"Departamento de Ciencia Política, FCS-Udelar","publisher-place":"Montevideo, Uruguay","title":"Introducción","author":[{"family":"Moraes","given":"J."},{"family":"Pérez","given":"V."}],"issued":{"date-parts":[["2021"]]}}}],"schema":"https://github.com/citation-style-language/schema/raw/master/csl-citation.json"}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1F3D84" w:rsidRPr="001F3D84">
        <w:rPr>
          <w:rFonts w:ascii="Times New Roman" w:hAnsi="Times New Roman" w:cs="Times New Roman"/>
          <w:szCs w:val="24"/>
        </w:rPr>
        <w:t>(Moraes &amp; Pérez, 2021)</w:t>
      </w:r>
      <w:r w:rsidR="001F3D84">
        <w:rPr>
          <w:rFonts w:ascii="Times New Roman" w:eastAsia="Times New Roman" w:hAnsi="Times New Roman" w:cs="Times New Roman"/>
          <w:color w:val="000000"/>
          <w:lang w:eastAsia="es-UY"/>
        </w:rPr>
        <w:fldChar w:fldCharType="end"/>
      </w:r>
      <w:r w:rsidR="001F3D84">
        <w:rPr>
          <w:rFonts w:ascii="Times New Roman" w:eastAsia="Times New Roman" w:hAnsi="Times New Roman" w:cs="Times New Roman"/>
          <w:color w:val="000000"/>
          <w:lang w:eastAsia="es-UY"/>
        </w:rPr>
        <w:t>.</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0D2C17" w:rsidRDefault="000D2C17" w:rsidP="000D2C17">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lastRenderedPageBreak/>
        <w:drawing>
          <wp:inline distT="0" distB="0" distL="0" distR="0">
            <wp:extent cx="5133975" cy="3733800"/>
            <wp:effectExtent l="38100" t="38100" r="47625" b="3810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3975" cy="3733800"/>
                    </a:xfrm>
                    <a:prstGeom prst="rect">
                      <a:avLst/>
                    </a:prstGeom>
                    <a:noFill/>
                    <a:ln w="38100">
                      <a:solidFill>
                        <a:schemeClr val="bg2">
                          <a:lumMod val="50000"/>
                        </a:schemeClr>
                      </a:solidFill>
                    </a:ln>
                  </pic:spPr>
                </pic:pic>
              </a:graphicData>
            </a:graphic>
          </wp:inline>
        </w:drawing>
      </w:r>
    </w:p>
    <w:p w:rsidR="00686508" w:rsidRPr="000D2C17" w:rsidRDefault="000D2C17" w:rsidP="00686508">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r w:rsidR="00686508" w:rsidRPr="000D2C17">
        <w:rPr>
          <w:rFonts w:ascii="Times New Roman" w:eastAsia="Times New Roman" w:hAnsi="Times New Roman" w:cs="Times New Roman"/>
          <w:color w:val="000000"/>
          <w:sz w:val="20"/>
          <w:szCs w:val="20"/>
          <w:lang w:eastAsia="es-UY"/>
        </w:rPr>
        <w:t> Volatilidad, Fragmentación y polarización en Uruguay (1994-2019).</w:t>
      </w:r>
    </w:p>
    <w:p w:rsidR="00686508" w:rsidRPr="000D2C17" w:rsidRDefault="00686508" w:rsidP="00686508">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w:t>
      </w:r>
      <w:r>
        <w:rPr>
          <w:rFonts w:ascii="Times New Roman" w:eastAsia="Times New Roman" w:hAnsi="Times New Roman" w:cs="Times New Roman"/>
          <w:color w:val="000000"/>
          <w:sz w:val="20"/>
          <w:szCs w:val="20"/>
          <w:lang w:eastAsia="es-UY"/>
        </w:rPr>
        <w:t xml:space="preserve"> </w:t>
      </w:r>
      <w:r>
        <w:rPr>
          <w:rFonts w:ascii="Times New Roman" w:eastAsia="Times New Roman" w:hAnsi="Times New Roman" w:cs="Times New Roman"/>
          <w:color w:val="000000"/>
          <w:sz w:val="20"/>
          <w:szCs w:val="20"/>
          <w:lang w:eastAsia="es-UY"/>
        </w:rPr>
        <w:fldChar w:fldCharType="begin"/>
      </w:r>
      <w:r w:rsidR="00B94A0A">
        <w:rPr>
          <w:rFonts w:ascii="Times New Roman" w:eastAsia="Times New Roman" w:hAnsi="Times New Roman" w:cs="Times New Roman"/>
          <w:color w:val="000000"/>
          <w:sz w:val="20"/>
          <w:szCs w:val="20"/>
          <w:lang w:eastAsia="es-UY"/>
        </w:rPr>
        <w:instrText xml:space="preserve"> ADDIN ZOTERO_ITEM CSL_CITATION {"citationID":"V0DgXNiS","properties":{"formattedCitation":"(Moraes et\\uc0\\u160{}al., 2021)","plainCitation":"(Moraes et al., 2021)","dontUpdate":true,"noteIndex":0},"citationItems":[{"id":163,"uris":["http://zotero.org/users/10325949/items/JK2I4AGC"],"itemData":{"id":163,"type":"chapter","container-title":"De la estabilidad al equilibrio inestable: elecciones y comportamiento electoral","event-place":"Montevideo, Uruguay","publisher":"Departamento de Ciencia Política, FCS-Udelar","publisher-place":"Montevideo, Uruguay","title":"We are fantastic. Are we?","author":[{"family":"Moraes","given":"J."},{"family":"Acosta y Lara","given":"F."},{"family":"Martínez","given":"G."},{"family":"Wilchinski","given":"M."}],"issued":{"date-parts":[["2021"]]}}}],"schema":"https://github.com/citation-style-language/schema/raw/master/csl-citation.json"} </w:instrText>
      </w:r>
      <w:r>
        <w:rPr>
          <w:rFonts w:ascii="Times New Roman" w:eastAsia="Times New Roman" w:hAnsi="Times New Roman" w:cs="Times New Roman"/>
          <w:color w:val="000000"/>
          <w:sz w:val="20"/>
          <w:szCs w:val="20"/>
          <w:lang w:eastAsia="es-UY"/>
        </w:rPr>
        <w:fldChar w:fldCharType="separate"/>
      </w:r>
      <w:r w:rsidRPr="001F3D84">
        <w:rPr>
          <w:rFonts w:ascii="Times New Roman" w:hAnsi="Times New Roman" w:cs="Times New Roman"/>
          <w:sz w:val="20"/>
          <w:szCs w:val="24"/>
        </w:rPr>
        <w:t>Moraes et al.</w:t>
      </w:r>
      <w:r>
        <w:rPr>
          <w:rFonts w:ascii="Times New Roman" w:hAnsi="Times New Roman" w:cs="Times New Roman"/>
          <w:sz w:val="20"/>
          <w:szCs w:val="24"/>
        </w:rPr>
        <w:t xml:space="preserve"> (</w:t>
      </w:r>
      <w:r w:rsidRPr="001F3D84">
        <w:rPr>
          <w:rFonts w:ascii="Times New Roman" w:hAnsi="Times New Roman" w:cs="Times New Roman"/>
          <w:sz w:val="20"/>
          <w:szCs w:val="24"/>
        </w:rPr>
        <w:t>2021)</w:t>
      </w:r>
      <w:r>
        <w:rPr>
          <w:rFonts w:ascii="Times New Roman" w:eastAsia="Times New Roman" w:hAnsi="Times New Roman" w:cs="Times New Roman"/>
          <w:color w:val="000000"/>
          <w:sz w:val="20"/>
          <w:szCs w:val="20"/>
          <w:lang w:eastAsia="es-UY"/>
        </w:rPr>
        <w:fldChar w:fldCharType="end"/>
      </w:r>
    </w:p>
    <w:p w:rsidR="000D2C17" w:rsidRPr="000D2C17" w:rsidRDefault="00D825D0"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anchor distT="0" distB="0" distL="114300" distR="114300" simplePos="0" relativeHeight="251659264" behindDoc="0" locked="0" layoutInCell="1" allowOverlap="1">
            <wp:simplePos x="0" y="0"/>
            <wp:positionH relativeFrom="column">
              <wp:posOffset>510540</wp:posOffset>
            </wp:positionH>
            <wp:positionV relativeFrom="paragraph">
              <wp:posOffset>1369060</wp:posOffset>
            </wp:positionV>
            <wp:extent cx="4591050" cy="2657475"/>
            <wp:effectExtent l="38100" t="38100" r="38100" b="476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1050" cy="2657475"/>
                    </a:xfrm>
                    <a:prstGeom prst="rect">
                      <a:avLst/>
                    </a:prstGeom>
                    <a:noFill/>
                    <a:ln w="38100">
                      <a:solidFill>
                        <a:schemeClr val="bg2">
                          <a:lumMod val="50000"/>
                        </a:schemeClr>
                      </a:solidFill>
                    </a:ln>
                  </pic:spPr>
                </pic:pic>
              </a:graphicData>
            </a:graphic>
          </wp:anchor>
        </w:drawing>
      </w:r>
      <w:r w:rsidR="000D2C17" w:rsidRPr="000D2C17">
        <w:rPr>
          <w:rFonts w:ascii="Times New Roman" w:eastAsia="Times New Roman" w:hAnsi="Times New Roman" w:cs="Times New Roman"/>
          <w:color w:val="000000"/>
          <w:lang w:eastAsia="es-UY"/>
        </w:rPr>
        <w:t>Además, hay otras características del sistema político nacional que lo destacan negativamente en la región. Una dimensión muy clara es la brecha de género en los diferentes niveles de gobierno. Uruguay se encuentra entre los países con menor proporción de mujeres en el legislativo nacional, tan solo un 21,2%. Además, tras Brasil, es el que menor cantidad de ministras tiene en el Ejecutivo, solamente el 10%, contrastando con países como Chile (58%) o Costa Rica (50%). </w:t>
      </w:r>
    </w:p>
    <w:p w:rsidR="00686508" w:rsidRPr="000D2C17" w:rsidRDefault="00686508" w:rsidP="00686508">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Brecha de género en el legislativo y Ejecutivo en Latinoamérica</w:t>
      </w:r>
    </w:p>
    <w:p w:rsidR="00686508" w:rsidRPr="000D2C17" w:rsidRDefault="00686508" w:rsidP="00686508">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Fuente: elaboración propia con datos de CEPAL</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b/>
          <w:bCs/>
          <w:i/>
          <w:iCs/>
          <w:color w:val="000000"/>
          <w:lang w:eastAsia="es-UY"/>
        </w:rPr>
        <w:lastRenderedPageBreak/>
        <w:t>La visión subnacional del sistema político</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Recientemente algunos trabajos han ahondado en la forma en que funcionan las democracias en niveles subnacionales latinoamericanos</w:t>
      </w:r>
      <w:r w:rsidR="001F3D84">
        <w:rPr>
          <w:rFonts w:ascii="Times New Roman" w:eastAsia="Times New Roman" w:hAnsi="Times New Roman" w:cs="Times New Roman"/>
          <w:color w:val="000000"/>
          <w:lang w:eastAsia="es-UY"/>
        </w:rPr>
        <w:t xml:space="preserve"> </w:t>
      </w:r>
      <w:r w:rsidR="001F3D84">
        <w:rPr>
          <w:rFonts w:ascii="Times New Roman" w:eastAsia="Times New Roman" w:hAnsi="Times New Roman" w:cs="Times New Roman"/>
          <w:color w:val="000000"/>
          <w:lang w:eastAsia="es-UY"/>
        </w:rPr>
        <w:fldChar w:fldCharType="begin"/>
      </w:r>
      <w:r w:rsidR="00E56EF2">
        <w:rPr>
          <w:rFonts w:ascii="Times New Roman" w:eastAsia="Times New Roman" w:hAnsi="Times New Roman" w:cs="Times New Roman"/>
          <w:color w:val="000000"/>
          <w:lang w:eastAsia="es-UY"/>
        </w:rPr>
        <w:instrText xml:space="preserve"> ADDIN ZOTERO_ITEM CSL_CITATION {"citationID":"mzFwYajD","properties":{"formattedCitation":"(Gervasoni, 2011; Pino, 2017)","plainCitation":"(Gervasoni, 2011; Pino, 2017)","noteIndex":0},"citationItems":[{"id":159,"uris":["http://zotero.org/users/10325949/items/2F5K392U"],"itemData":{"id":159,"type":"article-journal","container-title":"Desarrollo Económico","language":"Español","page":"579-610","title":"Una teoría rentística de los regímenes subnacionales: federalismo fiscal, democracia y autoritarismo en las provincias argentinas","author":[{"family":"Gervasoni","given":"C."}],"issued":{"date-parts":[["2011"]]}}},{"id":171,"uris":["http://zotero.org/users/10325949/items/FBDMCLQH"],"itemData":{"id":171,"type":"article-journal","container-title":"Colombia Internacional","issue":"91","page":"215-242","title":"Entre democracias y autoritarismos: una mirada crítica al estudio de la democracia subnacional en Colombia y Latinoamérica","author":[{"family":"Pino","given":"J."}],"issued":{"date-parts":[["2017"]]}}}],"schema":"https://github.com/citation-style-language/schema/raw/master/csl-citation.json"} </w:instrText>
      </w:r>
      <w:r w:rsidR="001F3D84">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(Gervasoni, 2011; Pino, 2017)</w:t>
      </w:r>
      <w:r w:rsidR="001F3D84">
        <w:rPr>
          <w:rFonts w:ascii="Times New Roman" w:eastAsia="Times New Roman" w:hAnsi="Times New Roman" w:cs="Times New Roman"/>
          <w:color w:val="000000"/>
          <w:lang w:eastAsia="es-UY"/>
        </w:rPr>
        <w:fldChar w:fldCharType="end"/>
      </w:r>
      <w:r w:rsidR="00E56EF2">
        <w:rPr>
          <w:rFonts w:ascii="Times New Roman" w:eastAsia="Times New Roman" w:hAnsi="Times New Roman" w:cs="Times New Roman"/>
          <w:color w:val="000000"/>
          <w:lang w:eastAsia="es-UY"/>
        </w:rPr>
        <w:t>.</w:t>
      </w:r>
      <w:r w:rsidRPr="000D2C17">
        <w:rPr>
          <w:rFonts w:ascii="Times New Roman" w:eastAsia="Times New Roman" w:hAnsi="Times New Roman" w:cs="Times New Roman"/>
          <w:color w:val="000000"/>
          <w:lang w:eastAsia="es-UY"/>
        </w:rPr>
        <w:t xml:space="preserve"> Para el caso Uruguayo, un buen resumen de cuestiones de relevancia lo hacen </w:t>
      </w:r>
      <w:r w:rsidR="00E56EF2">
        <w:rPr>
          <w:rFonts w:ascii="Times New Roman" w:eastAsia="Times New Roman" w:hAnsi="Times New Roman" w:cs="Times New Roman"/>
          <w:color w:val="000000"/>
          <w:lang w:eastAsia="es-UY"/>
        </w:rPr>
        <w:fldChar w:fldCharType="begin"/>
      </w:r>
      <w:r w:rsidR="00B94A0A">
        <w:rPr>
          <w:rFonts w:ascii="Times New Roman" w:eastAsia="Times New Roman" w:hAnsi="Times New Roman" w:cs="Times New Roman"/>
          <w:color w:val="000000"/>
          <w:lang w:eastAsia="es-UY"/>
        </w:rPr>
        <w:instrText xml:space="preserve"> ADDIN ZOTERO_ITEM CSL_CITATION {"citationID":"pJ219aMg","properties":{"formattedCitation":"(Cardarello &amp; Nieto, 2021)","plainCitation":"(Cardarello &amp; Nieto, 2021)","dontUpdate":true,"noteIndex":0},"citationItems":[{"id":156,"uris":["http://zotero.org/users/10325949/items/Z3P3Q4NJ"],"itemData":{"id":156,"type":"article-newspaper","container-title":"En Perspectiva","language":"Español","title":"Los desafíos de la democracia subnacional en Uruguay","URL":"https://enperspectiva.uy/wp-content/uploads/2022/05/Cardarello-Nieto-Democracia-subnacional-en-Uruguay.-La-Maquina-de-Aprender-2022.pdf","author":[{"family":"Cardarello","given":"A."},{"family":"Nieto","given":"E."}],"issued":{"date-parts":[["2021"]]}}}],"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 xml:space="preserve">Cardarello </w:t>
      </w:r>
      <w:r w:rsidR="00E56EF2">
        <w:rPr>
          <w:rFonts w:ascii="Times New Roman" w:hAnsi="Times New Roman" w:cs="Times New Roman"/>
        </w:rPr>
        <w:t>y</w:t>
      </w:r>
      <w:r w:rsidR="00E56EF2" w:rsidRPr="00E56EF2">
        <w:rPr>
          <w:rFonts w:ascii="Times New Roman" w:hAnsi="Times New Roman" w:cs="Times New Roman"/>
        </w:rPr>
        <w:t xml:space="preserve"> Nieto</w:t>
      </w:r>
      <w:r w:rsidR="00E56EF2">
        <w:rPr>
          <w:rFonts w:ascii="Times New Roman" w:hAnsi="Times New Roman" w:cs="Times New Roman"/>
        </w:rPr>
        <w:t xml:space="preserve"> (</w:t>
      </w:r>
      <w:r w:rsidR="00E56EF2" w:rsidRPr="00E56EF2">
        <w:rPr>
          <w:rFonts w:ascii="Times New Roman" w:hAnsi="Times New Roman" w:cs="Times New Roman"/>
        </w:rPr>
        <w:t>2021)</w:t>
      </w:r>
      <w:r w:rsidR="00E56EF2">
        <w:rPr>
          <w:rFonts w:ascii="Times New Roman" w:eastAsia="Times New Roman" w:hAnsi="Times New Roman" w:cs="Times New Roman"/>
          <w:color w:val="000000"/>
          <w:lang w:eastAsia="es-UY"/>
        </w:rPr>
        <w:fldChar w:fldCharType="end"/>
      </w:r>
      <w:r w:rsidRPr="000D2C17">
        <w:rPr>
          <w:rFonts w:ascii="Times New Roman" w:eastAsia="Times New Roman" w:hAnsi="Times New Roman" w:cs="Times New Roman"/>
          <w:color w:val="000000"/>
          <w:lang w:eastAsia="es-UY"/>
        </w:rPr>
        <w:t xml:space="preserve"> del que aquí queremos extraer dos puntualizaciones.</w:t>
      </w:r>
    </w:p>
    <w:p w:rsidR="000D2C17" w:rsidRPr="000D2C17" w:rsidRDefault="000D2C17" w:rsidP="000D2C17">
      <w:pPr>
        <w:spacing w:after="0" w:line="360" w:lineRule="auto"/>
        <w:ind w:firstLine="340"/>
        <w:jc w:val="both"/>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El primero es la forma en que son electas las Juntas Departamentales</w:t>
      </w:r>
      <w:r w:rsidR="000F3EFB">
        <w:rPr>
          <w:rFonts w:ascii="Times New Roman" w:eastAsia="Times New Roman" w:hAnsi="Times New Roman" w:cs="Times New Roman"/>
          <w:color w:val="000000"/>
          <w:lang w:eastAsia="es-UY"/>
        </w:rPr>
        <w:t xml:space="preserve"> (JD)</w:t>
      </w:r>
      <w:r w:rsidRPr="000D2C17">
        <w:rPr>
          <w:rFonts w:ascii="Times New Roman" w:eastAsia="Times New Roman" w:hAnsi="Times New Roman" w:cs="Times New Roman"/>
          <w:color w:val="000000"/>
          <w:lang w:eastAsia="es-UY"/>
        </w:rPr>
        <w:t>, el órgano legislativo departamental y de contralor del accionar del Intendente. El sistema de asignación de bancas vigente le asegura al partido del Intendente la mayoría absoluta de las bancas en la JD. Esto debilita su carácter de contrapeso al Ejecutivo departamental, un Ejecutivo que, por concepción, además tiene amplia autonomía respecto a las Juntas Departamentales pero también a otros órganos nacionales de contralor (Laurnaga, 2004, citado en</w:t>
      </w:r>
      <w:r w:rsidR="00E56EF2">
        <w:rPr>
          <w:rFonts w:ascii="Times New Roman" w:eastAsia="Times New Roman" w:hAnsi="Times New Roman" w:cs="Times New Roman"/>
          <w:color w:val="000000"/>
          <w:lang w:eastAsia="es-UY"/>
        </w:rPr>
        <w:t xml:space="preserve"> </w:t>
      </w:r>
      <w:r w:rsidR="00E56EF2">
        <w:rPr>
          <w:rFonts w:ascii="Times New Roman" w:eastAsia="Times New Roman" w:hAnsi="Times New Roman" w:cs="Times New Roman"/>
          <w:color w:val="000000"/>
          <w:lang w:eastAsia="es-UY"/>
        </w:rPr>
        <w:fldChar w:fldCharType="begin"/>
      </w:r>
      <w:r w:rsidR="00B94A0A">
        <w:rPr>
          <w:rFonts w:ascii="Times New Roman" w:eastAsia="Times New Roman" w:hAnsi="Times New Roman" w:cs="Times New Roman"/>
          <w:color w:val="000000"/>
          <w:lang w:eastAsia="es-UY"/>
        </w:rPr>
        <w:instrText xml:space="preserve"> ADDIN ZOTERO_ITEM CSL_CITATION {"citationID":"iMRrWp1k","properties":{"formattedCitation":"(Cardarello &amp; Nieto, 2021)","plainCitation":"(Cardarello &amp; Nieto, 2021)","dontUpdate":true,"noteIndex":0},"citationItems":[{"id":156,"uris":["http://zotero.org/users/10325949/items/Z3P3Q4NJ"],"itemData":{"id":156,"type":"article-newspaper","container-title":"En Perspectiva","language":"Español","title":"Los desafíos de la democracia subnacional en Uruguay","URL":"https://enperspectiva.uy/wp-content/uploads/2022/05/Cardarello-Nieto-Democracia-subnacional-en-Uruguay.-La-Maquina-de-Aprender-2022.pdf","author":[{"family":"Cardarello","given":"A."},{"family":"Nieto","given":"E."}],"issued":{"date-parts":[["2021"]]}}}],"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 xml:space="preserve">Cardarello </w:t>
      </w:r>
      <w:r w:rsidR="00E56EF2">
        <w:rPr>
          <w:rFonts w:ascii="Times New Roman" w:hAnsi="Times New Roman" w:cs="Times New Roman"/>
        </w:rPr>
        <w:t>y</w:t>
      </w:r>
      <w:r w:rsidR="00E56EF2" w:rsidRPr="00E56EF2">
        <w:rPr>
          <w:rFonts w:ascii="Times New Roman" w:hAnsi="Times New Roman" w:cs="Times New Roman"/>
        </w:rPr>
        <w:t xml:space="preserve"> Nieto</w:t>
      </w:r>
      <w:r w:rsidR="00E56EF2">
        <w:rPr>
          <w:rFonts w:ascii="Times New Roman" w:hAnsi="Times New Roman" w:cs="Times New Roman"/>
        </w:rPr>
        <w:t xml:space="preserve"> (</w:t>
      </w:r>
      <w:r w:rsidR="00E56EF2" w:rsidRPr="00E56EF2">
        <w:rPr>
          <w:rFonts w:ascii="Times New Roman" w:hAnsi="Times New Roman" w:cs="Times New Roman"/>
        </w:rPr>
        <w:t>2021)</w:t>
      </w:r>
      <w:r w:rsidR="00E56EF2">
        <w:rPr>
          <w:rFonts w:ascii="Times New Roman" w:eastAsia="Times New Roman" w:hAnsi="Times New Roman" w:cs="Times New Roman"/>
          <w:color w:val="000000"/>
          <w:lang w:eastAsia="es-UY"/>
        </w:rPr>
        <w:fldChar w:fldCharType="end"/>
      </w:r>
      <w:r w:rsidR="00E56EF2">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 xml:space="preserve">Esto implicó que, entre 1984 y 2020 en el 40% de los casos, las mayorías en la JD fueron producto de esta anormalidad en la legislación y no de la mayoría en las urnas </w:t>
      </w:r>
      <w:r w:rsidR="00E56EF2">
        <w:rPr>
          <w:rFonts w:ascii="Times New Roman" w:eastAsia="Times New Roman" w:hAnsi="Times New Roman" w:cs="Times New Roman"/>
          <w:color w:val="000000"/>
          <w:lang w:eastAsia="es-UY"/>
        </w:rPr>
        <w:fldChar w:fldCharType="begin"/>
      </w:r>
      <w:r w:rsidR="00E56EF2">
        <w:rPr>
          <w:rFonts w:ascii="Times New Roman" w:eastAsia="Times New Roman" w:hAnsi="Times New Roman" w:cs="Times New Roman"/>
          <w:color w:val="000000"/>
          <w:lang w:eastAsia="es-UY"/>
        </w:rPr>
        <w:instrText xml:space="preserve"> ADDIN ZOTERO_ITEM CSL_CITATION {"citationID":"DH7s3jZW","properties":{"formattedCitation":"(Cardarello &amp; Nieto, 2021)","plainCitation":"(Cardarello &amp; Nieto, 2021)","noteIndex":0},"citationItems":[{"id":156,"uris":["http://zotero.org/users/10325949/items/Z3P3Q4NJ"],"itemData":{"id":156,"type":"article-newspaper","container-title":"En Perspectiva","language":"Español","title":"Los desafíos de la democracia subnacional en Uruguay","URL":"https://enperspectiva.uy/wp-content/uploads/2022/05/Cardarello-Nieto-Democracia-subnacional-en-Uruguay.-La-Maquina-de-Aprender-2022.pdf","author":[{"family":"Cardarello","given":"A."},{"family":"Nieto","given":"E."}],"issued":{"date-parts":[["2021"]]}}}],"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(Cardarello &amp; Nieto, 2021)</w:t>
      </w:r>
      <w:r w:rsidR="00E56EF2">
        <w:rPr>
          <w:rFonts w:ascii="Times New Roman" w:eastAsia="Times New Roman" w:hAnsi="Times New Roman" w:cs="Times New Roman"/>
          <w:color w:val="000000"/>
          <w:lang w:eastAsia="es-UY"/>
        </w:rPr>
        <w:fldChar w:fldCharType="end"/>
      </w:r>
      <w:r w:rsidR="00E56EF2">
        <w:rPr>
          <w:rFonts w:ascii="Times New Roman" w:eastAsia="Times New Roman" w:hAnsi="Times New Roman" w:cs="Times New Roman"/>
          <w:color w:val="000000"/>
          <w:lang w:eastAsia="es-UY"/>
        </w:rPr>
        <w:t>.</w:t>
      </w:r>
    </w:p>
    <w:p w:rsidR="000D2C17" w:rsidRDefault="000D2C17" w:rsidP="000D2C17">
      <w:pPr>
        <w:spacing w:after="0" w:line="360" w:lineRule="auto"/>
        <w:ind w:firstLine="340"/>
        <w:jc w:val="both"/>
        <w:rPr>
          <w:rFonts w:ascii="Times New Roman" w:eastAsia="Times New Roman" w:hAnsi="Times New Roman" w:cs="Times New Roman"/>
          <w:color w:val="000000"/>
          <w:lang w:eastAsia="es-UY"/>
        </w:rPr>
      </w:pPr>
      <w:r w:rsidRPr="000D2C17">
        <w:rPr>
          <w:rFonts w:ascii="Times New Roman" w:eastAsia="Times New Roman" w:hAnsi="Times New Roman" w:cs="Times New Roman"/>
          <w:color w:val="000000"/>
          <w:lang w:eastAsia="es-UY"/>
        </w:rPr>
        <w:t xml:space="preserve"> Otra característica notable del sistema político subnacional uruguayo es la ausencia de alternancias de partido de gobierno en muchos departamentos. Tomando la definición de </w:t>
      </w:r>
      <w:r w:rsidR="00E56EF2">
        <w:rPr>
          <w:rFonts w:ascii="Times New Roman" w:eastAsia="Times New Roman" w:hAnsi="Times New Roman" w:cs="Times New Roman"/>
          <w:color w:val="000000"/>
          <w:lang w:eastAsia="es-UY"/>
        </w:rPr>
        <w:fldChar w:fldCharType="begin"/>
      </w:r>
      <w:r w:rsidR="00B94A0A">
        <w:rPr>
          <w:rFonts w:ascii="Times New Roman" w:eastAsia="Times New Roman" w:hAnsi="Times New Roman" w:cs="Times New Roman"/>
          <w:color w:val="000000"/>
          <w:lang w:eastAsia="es-UY"/>
        </w:rPr>
        <w:instrText xml:space="preserve"> ADDIN ZOTERO_ITEM CSL_CITATION {"citationID":"uIhvxV6j","properties":{"formattedCitation":"(Sartori, 2005)","plainCitation":"(Sartori, 2005)","dontUpdate":true,"noteIndex":0},"citationItems":[{"id":128,"uris":["http://zotero.org/users/10325949/items/Q7DXYE7L"],"itemData":{"id":128,"type":"book","abstract":"In this broad-ranging volume Sartori outlines a comprehensive and authoritative approach to the classification of party systems. He also offers an extensive review of the concept and rationale of the political party, and develops a sharp critique of various spatial models of party competition","call-number":"324.2","collection-title":"ECPR classics","event-place":"Colchester","ISBN":"978-1-910259-08-5","note":"OCLC: 959554709","number-of-pages":"1","publisher":"ECPR","publisher-place":"Colchester","source":"Library of Congress ISBN","title":"Parties and party systems: a framework for analysis","title-short":"Parties and party systems","author":[{"family":"Sartori","given":"Giovanni"}],"contributor":[{"family":"European Consortium for Political Research","given":""}],"issued":{"date-parts":[["2005"]]}}}],"schema":"https://github.com/citation-style-language/schema/raw/master/csl-citation.json"} </w:instrText>
      </w:r>
      <w:r w:rsidR="00E56EF2">
        <w:rPr>
          <w:rFonts w:ascii="Times New Roman" w:eastAsia="Times New Roman" w:hAnsi="Times New Roman" w:cs="Times New Roman"/>
          <w:color w:val="000000"/>
          <w:lang w:eastAsia="es-UY"/>
        </w:rPr>
        <w:fldChar w:fldCharType="separate"/>
      </w:r>
      <w:r w:rsidR="00E56EF2" w:rsidRPr="00E56EF2">
        <w:rPr>
          <w:rFonts w:ascii="Times New Roman" w:hAnsi="Times New Roman" w:cs="Times New Roman"/>
        </w:rPr>
        <w:t>Sartori</w:t>
      </w:r>
      <w:r w:rsidR="00E56EF2">
        <w:rPr>
          <w:rFonts w:ascii="Times New Roman" w:hAnsi="Times New Roman" w:cs="Times New Roman"/>
        </w:rPr>
        <w:t xml:space="preserve"> (</w:t>
      </w:r>
      <w:r w:rsidR="00E56EF2" w:rsidRPr="00E56EF2">
        <w:rPr>
          <w:rFonts w:ascii="Times New Roman" w:hAnsi="Times New Roman" w:cs="Times New Roman"/>
        </w:rPr>
        <w:t>2005)</w:t>
      </w:r>
      <w:r w:rsidR="00E56EF2">
        <w:rPr>
          <w:rFonts w:ascii="Times New Roman" w:eastAsia="Times New Roman" w:hAnsi="Times New Roman" w:cs="Times New Roman"/>
          <w:color w:val="000000"/>
          <w:lang w:eastAsia="es-UY"/>
        </w:rPr>
        <w:fldChar w:fldCharType="end"/>
      </w:r>
      <w:r w:rsidR="00E56EF2">
        <w:rPr>
          <w:rFonts w:ascii="Times New Roman" w:eastAsia="Times New Roman" w:hAnsi="Times New Roman" w:cs="Times New Roman"/>
          <w:color w:val="000000"/>
          <w:lang w:eastAsia="es-UY"/>
        </w:rPr>
        <w:t xml:space="preserve"> </w:t>
      </w:r>
      <w:r w:rsidRPr="000D2C17">
        <w:rPr>
          <w:rFonts w:ascii="Times New Roman" w:eastAsia="Times New Roman" w:hAnsi="Times New Roman" w:cs="Times New Roman"/>
          <w:color w:val="000000"/>
          <w:lang w:eastAsia="es-UY"/>
        </w:rPr>
        <w:t>de sistemas de partido predominante (aquellos que no han experimentado transición en el partido de gobierno en al menos tres elecciones), el mapa siguiente muestra los departamentos que cumplen con esta característica. De los 19, 12 departamentos son de partido predominante. De ellos, la mitad no ha experimentado siquiera una transición desde 1984 a la fecha.</w:t>
      </w:r>
    </w:p>
    <w:p w:rsidR="00686508" w:rsidRPr="000D2C17" w:rsidRDefault="00686508" w:rsidP="000D2C17">
      <w:pPr>
        <w:spacing w:after="0" w:line="360" w:lineRule="auto"/>
        <w:ind w:firstLine="340"/>
        <w:jc w:val="both"/>
        <w:rPr>
          <w:rFonts w:ascii="Times New Roman" w:eastAsia="Times New Roman" w:hAnsi="Times New Roman" w:cs="Times New Roman"/>
          <w:sz w:val="24"/>
          <w:szCs w:val="24"/>
          <w:lang w:eastAsia="es-UY"/>
        </w:rPr>
      </w:pPr>
    </w:p>
    <w:p w:rsidR="00627955" w:rsidRPr="000D2C17" w:rsidRDefault="00627955" w:rsidP="00627955">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noProof/>
          <w:color w:val="000000"/>
          <w:bdr w:val="none" w:sz="0" w:space="0" w:color="auto" w:frame="1"/>
          <w:lang w:eastAsia="es-UY"/>
        </w:rPr>
        <w:drawing>
          <wp:anchor distT="0" distB="0" distL="114300" distR="114300" simplePos="0" relativeHeight="251658240" behindDoc="0" locked="0" layoutInCell="1" allowOverlap="1" wp14:anchorId="1593802A">
            <wp:simplePos x="0" y="0"/>
            <wp:positionH relativeFrom="column">
              <wp:posOffset>1043940</wp:posOffset>
            </wp:positionH>
            <wp:positionV relativeFrom="paragraph">
              <wp:posOffset>0</wp:posOffset>
            </wp:positionV>
            <wp:extent cx="3562350" cy="3267075"/>
            <wp:effectExtent l="38100" t="38100" r="38100" b="476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2350" cy="3267075"/>
                    </a:xfrm>
                    <a:prstGeom prst="rect">
                      <a:avLst/>
                    </a:prstGeom>
                    <a:noFill/>
                    <a:ln w="38100">
                      <a:solidFill>
                        <a:schemeClr val="bg2">
                          <a:lumMod val="50000"/>
                        </a:schemeClr>
                      </a:solidFill>
                    </a:ln>
                  </pic:spPr>
                </pic:pic>
              </a:graphicData>
            </a:graphic>
          </wp:anchor>
        </w:drawing>
      </w:r>
      <w:r w:rsidRPr="000D2C17">
        <w:rPr>
          <w:rFonts w:ascii="Times New Roman" w:eastAsia="Times New Roman" w:hAnsi="Times New Roman" w:cs="Times New Roman"/>
          <w:color w:val="000000"/>
          <w:sz w:val="20"/>
          <w:szCs w:val="20"/>
          <w:lang w:eastAsia="es-UY"/>
        </w:rPr>
        <w:t>Tipos de sistemas de partidos subnacionales en Uruguay (2020)</w:t>
      </w:r>
    </w:p>
    <w:p w:rsidR="00627955" w:rsidRPr="000D2C17" w:rsidRDefault="00627955" w:rsidP="00627955">
      <w:pPr>
        <w:spacing w:after="0" w:line="360" w:lineRule="auto"/>
        <w:ind w:firstLine="340"/>
        <w:jc w:val="center"/>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sz w:val="20"/>
          <w:szCs w:val="20"/>
          <w:lang w:eastAsia="es-UY"/>
        </w:rPr>
        <w:t xml:space="preserve">Fuente: </w:t>
      </w:r>
      <w:r>
        <w:rPr>
          <w:rFonts w:ascii="Times New Roman" w:eastAsia="Times New Roman" w:hAnsi="Times New Roman" w:cs="Times New Roman"/>
          <w:color w:val="000000"/>
          <w:sz w:val="20"/>
          <w:szCs w:val="20"/>
          <w:lang w:eastAsia="es-UY"/>
        </w:rPr>
        <w:t>E</w:t>
      </w:r>
      <w:r w:rsidRPr="000D2C17">
        <w:rPr>
          <w:rFonts w:ascii="Times New Roman" w:eastAsia="Times New Roman" w:hAnsi="Times New Roman" w:cs="Times New Roman"/>
          <w:color w:val="000000"/>
          <w:sz w:val="20"/>
          <w:szCs w:val="20"/>
          <w:lang w:eastAsia="es-UY"/>
        </w:rPr>
        <w:t>laboración propia con datos de la Corte Electoral.  </w:t>
      </w:r>
    </w:p>
    <w:p w:rsidR="000D2C17" w:rsidRPr="000D2C17" w:rsidRDefault="000D2C17" w:rsidP="000D2C17">
      <w:pPr>
        <w:spacing w:after="0" w:line="360" w:lineRule="auto"/>
        <w:ind w:firstLine="340"/>
        <w:rPr>
          <w:rFonts w:ascii="Times New Roman" w:eastAsia="Times New Roman" w:hAnsi="Times New Roman" w:cs="Times New Roman"/>
          <w:sz w:val="24"/>
          <w:szCs w:val="24"/>
          <w:lang w:eastAsia="es-UY"/>
        </w:rPr>
      </w:pPr>
      <w:r w:rsidRPr="000D2C17">
        <w:rPr>
          <w:rFonts w:ascii="Times New Roman" w:eastAsia="Times New Roman" w:hAnsi="Times New Roman" w:cs="Times New Roman"/>
          <w:color w:val="000000"/>
          <w:lang w:eastAsia="es-UY"/>
        </w:rPr>
        <w:t> </w:t>
      </w:r>
    </w:p>
    <w:p w:rsidR="000D2C17" w:rsidRPr="00850DFC" w:rsidRDefault="000D2C17" w:rsidP="000D2C17">
      <w:pPr>
        <w:spacing w:after="0" w:line="360" w:lineRule="auto"/>
        <w:ind w:firstLine="340"/>
        <w:rPr>
          <w:rFonts w:ascii="Times New Roman" w:eastAsia="Times New Roman" w:hAnsi="Times New Roman" w:cs="Times New Roman"/>
          <w:b/>
          <w:bCs/>
          <w:color w:val="000000"/>
          <w:lang w:eastAsia="es-UY"/>
        </w:rPr>
      </w:pPr>
      <w:r w:rsidRPr="000D2C17">
        <w:rPr>
          <w:rFonts w:ascii="Times New Roman" w:eastAsia="Times New Roman" w:hAnsi="Times New Roman" w:cs="Times New Roman"/>
          <w:b/>
          <w:bCs/>
          <w:color w:val="000000"/>
          <w:lang w:eastAsia="es-UY"/>
        </w:rPr>
        <w:lastRenderedPageBreak/>
        <w:t>Conclusiones</w:t>
      </w:r>
    </w:p>
    <w:p w:rsidR="00B5579C" w:rsidRDefault="00850DFC" w:rsidP="00B5579C">
      <w:pPr>
        <w:spacing w:after="0" w:line="360" w:lineRule="auto"/>
        <w:ind w:firstLine="340"/>
        <w:jc w:val="both"/>
        <w:rPr>
          <w:rFonts w:ascii="Times New Roman" w:eastAsia="Times New Roman" w:hAnsi="Times New Roman" w:cs="Times New Roman"/>
          <w:lang w:eastAsia="es-UY"/>
        </w:rPr>
      </w:pPr>
      <w:r w:rsidRPr="00850DFC">
        <w:rPr>
          <w:rFonts w:ascii="Times New Roman" w:eastAsia="Times New Roman" w:hAnsi="Times New Roman" w:cs="Times New Roman"/>
          <w:lang w:eastAsia="es-UY"/>
        </w:rPr>
        <w:t>A modo de conclusión, se entiende</w:t>
      </w:r>
      <w:r w:rsidR="000F3EFB">
        <w:rPr>
          <w:rFonts w:ascii="Times New Roman" w:eastAsia="Times New Roman" w:hAnsi="Times New Roman" w:cs="Times New Roman"/>
          <w:lang w:eastAsia="es-UY"/>
        </w:rPr>
        <w:t xml:space="preserve"> que</w:t>
      </w:r>
      <w:r>
        <w:rPr>
          <w:rFonts w:ascii="Times New Roman" w:eastAsia="Times New Roman" w:hAnsi="Times New Roman" w:cs="Times New Roman"/>
          <w:lang w:eastAsia="es-UY"/>
        </w:rPr>
        <w:t xml:space="preserve"> en Uruguay existe una construcción identitaria</w:t>
      </w:r>
      <w:r w:rsidR="000F3EFB">
        <w:rPr>
          <w:rFonts w:ascii="Times New Roman" w:eastAsia="Times New Roman" w:hAnsi="Times New Roman" w:cs="Times New Roman"/>
          <w:lang w:eastAsia="es-UY"/>
        </w:rPr>
        <w:t xml:space="preserve"> </w:t>
      </w:r>
      <w:r>
        <w:rPr>
          <w:rFonts w:ascii="Times New Roman" w:eastAsia="Times New Roman" w:hAnsi="Times New Roman" w:cs="Times New Roman"/>
          <w:lang w:eastAsia="es-UY"/>
        </w:rPr>
        <w:t>que asume que este país constituye un caso de excepción en la región, en relación con buena parte de los indicadores que señalan la capacidad del Estado, el vigor de las políticas públicas, y la magnitud de los conflictos socio-económicos y ambientales. Sin embargo, al repasar algunas dimensiones en particular</w:t>
      </w:r>
      <w:r w:rsidR="000F3EFB">
        <w:rPr>
          <w:rFonts w:ascii="Times New Roman" w:eastAsia="Times New Roman" w:hAnsi="Times New Roman" w:cs="Times New Roman"/>
          <w:lang w:eastAsia="es-UY"/>
        </w:rPr>
        <w:t xml:space="preserve"> se puede relativizar esta percepción, ya que </w:t>
      </w:r>
      <w:r>
        <w:rPr>
          <w:rFonts w:ascii="Times New Roman" w:eastAsia="Times New Roman" w:hAnsi="Times New Roman" w:cs="Times New Roman"/>
          <w:lang w:eastAsia="es-UY"/>
        </w:rPr>
        <w:t>es claro que Uruguay no constituye un caso de excepción: a</w:t>
      </w:r>
      <w:r w:rsidRPr="00850DFC">
        <w:rPr>
          <w:rFonts w:ascii="Times New Roman" w:eastAsia="Times New Roman" w:hAnsi="Times New Roman" w:cs="Times New Roman"/>
          <w:lang w:eastAsia="es-UY"/>
        </w:rPr>
        <w:t xml:space="preserve">l menos no para bien: </w:t>
      </w:r>
      <w:r w:rsidR="00B5579C">
        <w:rPr>
          <w:rFonts w:ascii="Times New Roman" w:eastAsia="Times New Roman" w:hAnsi="Times New Roman" w:cs="Times New Roman"/>
          <w:lang w:eastAsia="es-UY"/>
        </w:rPr>
        <w:t>Se argumenta entonces que Uruguay es u</w:t>
      </w:r>
      <w:r w:rsidRPr="00850DFC">
        <w:rPr>
          <w:rFonts w:ascii="Times New Roman" w:eastAsia="Times New Roman" w:hAnsi="Times New Roman" w:cs="Times New Roman"/>
          <w:lang w:eastAsia="es-UY"/>
        </w:rPr>
        <w:t>n Estado con problemas para asegurar ciertos derechos básicos</w:t>
      </w:r>
      <w:r w:rsidR="00B5579C">
        <w:rPr>
          <w:rFonts w:ascii="Times New Roman" w:eastAsia="Times New Roman" w:hAnsi="Times New Roman" w:cs="Times New Roman"/>
          <w:lang w:eastAsia="es-UY"/>
        </w:rPr>
        <w:t>. Existen graves p</w:t>
      </w:r>
      <w:r w:rsidRPr="00850DFC">
        <w:rPr>
          <w:rFonts w:ascii="Times New Roman" w:eastAsia="Times New Roman" w:hAnsi="Times New Roman" w:cs="Times New Roman"/>
          <w:lang w:eastAsia="es-UY"/>
        </w:rPr>
        <w:t xml:space="preserve">roblemas en </w:t>
      </w:r>
      <w:r w:rsidR="00B5579C">
        <w:rPr>
          <w:rFonts w:ascii="Times New Roman" w:eastAsia="Times New Roman" w:hAnsi="Times New Roman" w:cs="Times New Roman"/>
          <w:lang w:eastAsia="es-UY"/>
        </w:rPr>
        <w:t>relación al sistema educativo (sobre todo la deserción y el nivel de gasto público) que</w:t>
      </w:r>
      <w:r w:rsidRPr="00850DFC">
        <w:rPr>
          <w:rFonts w:ascii="Times New Roman" w:eastAsia="Times New Roman" w:hAnsi="Times New Roman" w:cs="Times New Roman"/>
          <w:lang w:eastAsia="es-UY"/>
        </w:rPr>
        <w:t xml:space="preserve"> </w:t>
      </w:r>
      <w:r w:rsidR="00B5579C">
        <w:rPr>
          <w:rFonts w:ascii="Times New Roman" w:eastAsia="Times New Roman" w:hAnsi="Times New Roman" w:cs="Times New Roman"/>
          <w:lang w:eastAsia="es-UY"/>
        </w:rPr>
        <w:t>se transforman en verdaderos</w:t>
      </w:r>
      <w:r w:rsidRPr="00850DFC">
        <w:rPr>
          <w:rFonts w:ascii="Times New Roman" w:eastAsia="Times New Roman" w:hAnsi="Times New Roman" w:cs="Times New Roman"/>
          <w:lang w:eastAsia="es-UY"/>
        </w:rPr>
        <w:t xml:space="preserve"> obstáculo</w:t>
      </w:r>
      <w:r w:rsidR="00B5579C">
        <w:rPr>
          <w:rFonts w:ascii="Times New Roman" w:eastAsia="Times New Roman" w:hAnsi="Times New Roman" w:cs="Times New Roman"/>
          <w:lang w:eastAsia="es-UY"/>
        </w:rPr>
        <w:t>s</w:t>
      </w:r>
      <w:r w:rsidRPr="00850DFC">
        <w:rPr>
          <w:rFonts w:ascii="Times New Roman" w:eastAsia="Times New Roman" w:hAnsi="Times New Roman" w:cs="Times New Roman"/>
          <w:lang w:eastAsia="es-UY"/>
        </w:rPr>
        <w:t xml:space="preserve"> para el desarrollo</w:t>
      </w:r>
      <w:r w:rsidR="00B5579C">
        <w:rPr>
          <w:rFonts w:ascii="Times New Roman" w:eastAsia="Times New Roman" w:hAnsi="Times New Roman" w:cs="Times New Roman"/>
          <w:lang w:eastAsia="es-UY"/>
        </w:rPr>
        <w:t xml:space="preserve">, y se observan importantes dificultades </w:t>
      </w:r>
      <w:r w:rsidRPr="00850DFC">
        <w:rPr>
          <w:rFonts w:ascii="Times New Roman" w:eastAsia="Times New Roman" w:hAnsi="Times New Roman" w:cs="Times New Roman"/>
          <w:lang w:eastAsia="es-UY"/>
        </w:rPr>
        <w:t>en cuanto a violencia</w:t>
      </w:r>
      <w:r w:rsidR="00B5579C">
        <w:rPr>
          <w:rFonts w:ascii="Times New Roman" w:eastAsia="Times New Roman" w:hAnsi="Times New Roman" w:cs="Times New Roman"/>
          <w:lang w:eastAsia="es-UY"/>
        </w:rPr>
        <w:t xml:space="preserve"> social</w:t>
      </w:r>
      <w:r w:rsidRPr="00850DFC">
        <w:rPr>
          <w:rFonts w:ascii="Times New Roman" w:eastAsia="Times New Roman" w:hAnsi="Times New Roman" w:cs="Times New Roman"/>
          <w:lang w:eastAsia="es-UY"/>
        </w:rPr>
        <w:t xml:space="preserve"> e inseguridad pública</w:t>
      </w:r>
      <w:r w:rsidR="00B5579C">
        <w:rPr>
          <w:rFonts w:ascii="Times New Roman" w:eastAsia="Times New Roman" w:hAnsi="Times New Roman" w:cs="Times New Roman"/>
          <w:lang w:eastAsia="es-UY"/>
        </w:rPr>
        <w:t>.</w:t>
      </w:r>
    </w:p>
    <w:p w:rsidR="00686508" w:rsidRPr="000D2C17" w:rsidRDefault="00B5579C" w:rsidP="00B5579C">
      <w:pPr>
        <w:spacing w:after="0" w:line="360" w:lineRule="auto"/>
        <w:ind w:firstLine="340"/>
        <w:jc w:val="both"/>
        <w:rPr>
          <w:rFonts w:ascii="Times New Roman" w:eastAsia="Times New Roman" w:hAnsi="Times New Roman" w:cs="Times New Roman"/>
          <w:lang w:eastAsia="es-UY"/>
        </w:rPr>
      </w:pPr>
      <w:r>
        <w:rPr>
          <w:rFonts w:ascii="Times New Roman" w:eastAsia="Times New Roman" w:hAnsi="Times New Roman" w:cs="Times New Roman"/>
          <w:lang w:eastAsia="es-UY"/>
        </w:rPr>
        <w:t>A su vez, Uruguay presenta d</w:t>
      </w:r>
      <w:r w:rsidR="00850DFC" w:rsidRPr="00850DFC">
        <w:rPr>
          <w:rFonts w:ascii="Times New Roman" w:eastAsia="Times New Roman" w:hAnsi="Times New Roman" w:cs="Times New Roman"/>
          <w:lang w:eastAsia="es-UY"/>
        </w:rPr>
        <w:t xml:space="preserve">isparidades territoriales </w:t>
      </w:r>
      <w:r>
        <w:rPr>
          <w:rFonts w:ascii="Times New Roman" w:eastAsia="Times New Roman" w:hAnsi="Times New Roman" w:cs="Times New Roman"/>
          <w:lang w:eastAsia="es-UY"/>
        </w:rPr>
        <w:t>que son muy relevantes, principalmente visible al observar diferencias entre la zona sur y suroeste y la zona norte y noreste. Por último, en cuanto al sistema político, se evidencia u</w:t>
      </w:r>
      <w:r w:rsidR="00850DFC" w:rsidRPr="00850DFC">
        <w:rPr>
          <w:rFonts w:ascii="Times New Roman" w:eastAsia="Times New Roman" w:hAnsi="Times New Roman" w:cs="Times New Roman"/>
          <w:lang w:eastAsia="es-UY"/>
        </w:rPr>
        <w:t>na enorme brecha de género en la política</w:t>
      </w:r>
      <w:r>
        <w:rPr>
          <w:rFonts w:ascii="Times New Roman" w:eastAsia="Times New Roman" w:hAnsi="Times New Roman" w:cs="Times New Roman"/>
          <w:lang w:eastAsia="es-UY"/>
        </w:rPr>
        <w:t xml:space="preserve"> y una t</w:t>
      </w:r>
      <w:r w:rsidR="00850DFC" w:rsidRPr="00850DFC">
        <w:rPr>
          <w:rFonts w:ascii="Times New Roman" w:eastAsia="Times New Roman" w:hAnsi="Times New Roman" w:cs="Times New Roman"/>
          <w:lang w:eastAsia="es-UY"/>
        </w:rPr>
        <w:t>endencia al aumento de la polarización, la volatilidad y la fragmentación del sistema</w:t>
      </w:r>
      <w:r>
        <w:rPr>
          <w:rFonts w:ascii="Times New Roman" w:eastAsia="Times New Roman" w:hAnsi="Times New Roman" w:cs="Times New Roman"/>
          <w:lang w:eastAsia="es-UY"/>
        </w:rPr>
        <w:t xml:space="preserve"> (que en etapas previas han distinguido </w:t>
      </w:r>
      <w:r w:rsidR="000F3EFB">
        <w:rPr>
          <w:rFonts w:ascii="Times New Roman" w:eastAsia="Times New Roman" w:hAnsi="Times New Roman" w:cs="Times New Roman"/>
          <w:lang w:eastAsia="es-UY"/>
        </w:rPr>
        <w:t xml:space="preserve">positivamente a </w:t>
      </w:r>
      <w:r>
        <w:rPr>
          <w:rFonts w:ascii="Times New Roman" w:eastAsia="Times New Roman" w:hAnsi="Times New Roman" w:cs="Times New Roman"/>
          <w:lang w:eastAsia="es-UY"/>
        </w:rPr>
        <w:t>Uruguay de la región latinoamericana).</w:t>
      </w:r>
    </w:p>
    <w:p w:rsidR="000F3EFB" w:rsidRDefault="000F3EFB" w:rsidP="000F3EFB">
      <w:pPr>
        <w:spacing w:after="0" w:line="360" w:lineRule="auto"/>
        <w:jc w:val="both"/>
        <w:rPr>
          <w:rFonts w:ascii="Times New Roman" w:eastAsia="Times New Roman" w:hAnsi="Times New Roman" w:cs="Times New Roman"/>
          <w:color w:val="000000"/>
          <w:lang w:eastAsia="es-UY"/>
        </w:rPr>
      </w:pPr>
    </w:p>
    <w:p w:rsidR="00E56EF2" w:rsidRDefault="00E56EF2" w:rsidP="000F3EFB">
      <w:pPr>
        <w:spacing w:after="0" w:line="360" w:lineRule="auto"/>
        <w:jc w:val="both"/>
        <w:rPr>
          <w:rFonts w:ascii="Times New Roman" w:eastAsia="Times New Roman" w:hAnsi="Times New Roman" w:cs="Times New Roman"/>
          <w:b/>
          <w:bCs/>
          <w:color w:val="000000"/>
          <w:lang w:eastAsia="es-UY"/>
        </w:rPr>
      </w:pPr>
      <w:r>
        <w:rPr>
          <w:rFonts w:ascii="Times New Roman" w:eastAsia="Times New Roman" w:hAnsi="Times New Roman" w:cs="Times New Roman"/>
          <w:b/>
          <w:bCs/>
          <w:color w:val="000000"/>
          <w:lang w:eastAsia="es-UY"/>
        </w:rPr>
        <w:t>Bibliografía</w:t>
      </w:r>
    </w:p>
    <w:p w:rsidR="00B94A0A" w:rsidRPr="000F3EFB" w:rsidRDefault="00E56EF2"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eastAsia="Times New Roman" w:hAnsi="Times New Roman" w:cs="Times New Roman"/>
          <w:sz w:val="20"/>
          <w:szCs w:val="20"/>
          <w:lang w:eastAsia="es-UY"/>
        </w:rPr>
        <w:fldChar w:fldCharType="begin"/>
      </w:r>
      <w:r w:rsidRPr="000F3EFB">
        <w:rPr>
          <w:rFonts w:ascii="Times New Roman" w:eastAsia="Times New Roman" w:hAnsi="Times New Roman" w:cs="Times New Roman"/>
          <w:sz w:val="20"/>
          <w:szCs w:val="20"/>
          <w:lang w:eastAsia="es-UY"/>
        </w:rPr>
        <w:instrText xml:space="preserve"> ADDIN ZOTERO_BIBL {"uncited":[],"omitted":[],"custom":[]} CSL_BIBLIOGRAPHY </w:instrText>
      </w:r>
      <w:r w:rsidRPr="000F3EFB">
        <w:rPr>
          <w:rFonts w:ascii="Times New Roman" w:eastAsia="Times New Roman" w:hAnsi="Times New Roman" w:cs="Times New Roman"/>
          <w:sz w:val="20"/>
          <w:szCs w:val="20"/>
          <w:lang w:eastAsia="es-UY"/>
        </w:rPr>
        <w:fldChar w:fldCharType="separate"/>
      </w:r>
      <w:r w:rsidR="00B94A0A" w:rsidRPr="000F3EFB">
        <w:rPr>
          <w:rFonts w:ascii="Times New Roman" w:hAnsi="Times New Roman" w:cs="Times New Roman"/>
          <w:sz w:val="20"/>
          <w:szCs w:val="20"/>
        </w:rPr>
        <w:t xml:space="preserve">Amarante, V., &amp; Colacce, M. (2018). ¿Más o menos desiguales? Una revisión sobre la desigualdad de los ingresos a nivel global, regional y nacional. </w:t>
      </w:r>
      <w:r w:rsidR="00B94A0A" w:rsidRPr="000F3EFB">
        <w:rPr>
          <w:rFonts w:ascii="Times New Roman" w:hAnsi="Times New Roman" w:cs="Times New Roman"/>
          <w:i/>
          <w:iCs/>
          <w:sz w:val="20"/>
          <w:szCs w:val="20"/>
        </w:rPr>
        <w:t>Revista de la CEPAL</w:t>
      </w:r>
      <w:r w:rsidR="00B94A0A" w:rsidRPr="000F3EFB">
        <w:rPr>
          <w:rFonts w:ascii="Times New Roman" w:hAnsi="Times New Roman" w:cs="Times New Roman"/>
          <w:sz w:val="20"/>
          <w:szCs w:val="20"/>
        </w:rPr>
        <w:t xml:space="preserve">, </w:t>
      </w:r>
      <w:r w:rsidR="00B94A0A" w:rsidRPr="000F3EFB">
        <w:rPr>
          <w:rFonts w:ascii="Times New Roman" w:hAnsi="Times New Roman" w:cs="Times New Roman"/>
          <w:i/>
          <w:iCs/>
          <w:sz w:val="20"/>
          <w:szCs w:val="20"/>
        </w:rPr>
        <w:t>124</w:t>
      </w:r>
      <w:r w:rsidR="00B94A0A" w:rsidRPr="000F3EFB">
        <w:rPr>
          <w:rFonts w:ascii="Times New Roman" w:hAnsi="Times New Roman" w:cs="Times New Roman"/>
          <w:sz w:val="20"/>
          <w:szCs w:val="20"/>
        </w:rPr>
        <w:t>.</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Armas, G. de. (2017). </w:t>
      </w:r>
      <w:r w:rsidRPr="000F3EFB">
        <w:rPr>
          <w:rFonts w:ascii="Times New Roman" w:hAnsi="Times New Roman" w:cs="Times New Roman"/>
          <w:i/>
          <w:iCs/>
          <w:sz w:val="20"/>
          <w:szCs w:val="20"/>
        </w:rPr>
        <w:t>Poner fin a la pobreza infantil en Uruguay: Un objetivo posible para la política pública</w:t>
      </w:r>
      <w:r w:rsidRPr="000F3EFB">
        <w:rPr>
          <w:rFonts w:ascii="Times New Roman" w:hAnsi="Times New Roman" w:cs="Times New Roman"/>
          <w:sz w:val="20"/>
          <w:szCs w:val="20"/>
        </w:rPr>
        <w:t xml:space="preserve"> (Primera edición). UNICEF Uruguay.</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Bertranou, J. (2015). Capacidad estatal: Revisión del concepto y algunos ejes de análisis y debate. </w:t>
      </w:r>
      <w:r w:rsidRPr="000F3EFB">
        <w:rPr>
          <w:rFonts w:ascii="Times New Roman" w:hAnsi="Times New Roman" w:cs="Times New Roman"/>
          <w:i/>
          <w:iCs/>
          <w:sz w:val="20"/>
          <w:szCs w:val="20"/>
        </w:rPr>
        <w:t>Revista Estado y Políticas Públicas</w:t>
      </w:r>
      <w:r w:rsidRPr="000F3EFB">
        <w:rPr>
          <w:rFonts w:ascii="Times New Roman" w:hAnsi="Times New Roman" w:cs="Times New Roman"/>
          <w:sz w:val="20"/>
          <w:szCs w:val="20"/>
        </w:rPr>
        <w:t xml:space="preserve">, </w:t>
      </w:r>
      <w:r w:rsidRPr="000F3EFB">
        <w:rPr>
          <w:rFonts w:ascii="Times New Roman" w:hAnsi="Times New Roman" w:cs="Times New Roman"/>
          <w:i/>
          <w:iCs/>
          <w:sz w:val="20"/>
          <w:szCs w:val="20"/>
        </w:rPr>
        <w:t>4</w:t>
      </w:r>
      <w:r w:rsidRPr="000F3EFB">
        <w:rPr>
          <w:rFonts w:ascii="Times New Roman" w:hAnsi="Times New Roman" w:cs="Times New Roman"/>
          <w:sz w:val="20"/>
          <w:szCs w:val="20"/>
        </w:rPr>
        <w:t>, 37-59.</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Caetano, G. (2000). Lo privado desde lo público. Ciudadanía, nación y vida privada en el Centenario. </w:t>
      </w:r>
      <w:r w:rsidRPr="000F3EFB">
        <w:rPr>
          <w:rFonts w:ascii="Times New Roman" w:hAnsi="Times New Roman" w:cs="Times New Roman"/>
          <w:i/>
          <w:iCs/>
          <w:sz w:val="20"/>
          <w:szCs w:val="20"/>
        </w:rPr>
        <w:t>Sociohistórica</w:t>
      </w:r>
      <w:r w:rsidRPr="000F3EFB">
        <w:rPr>
          <w:rFonts w:ascii="Times New Roman" w:hAnsi="Times New Roman" w:cs="Times New Roman"/>
          <w:sz w:val="20"/>
          <w:szCs w:val="20"/>
        </w:rPr>
        <w:t xml:space="preserve">, </w:t>
      </w:r>
      <w:r w:rsidRPr="000F3EFB">
        <w:rPr>
          <w:rFonts w:ascii="Times New Roman" w:hAnsi="Times New Roman" w:cs="Times New Roman"/>
          <w:i/>
          <w:iCs/>
          <w:sz w:val="20"/>
          <w:szCs w:val="20"/>
        </w:rPr>
        <w:t>7</w:t>
      </w:r>
      <w:r w:rsidRPr="000F3EFB">
        <w:rPr>
          <w:rFonts w:ascii="Times New Roman" w:hAnsi="Times New Roman" w:cs="Times New Roman"/>
          <w:sz w:val="20"/>
          <w:szCs w:val="20"/>
        </w:rPr>
        <w:t>, 11-51.</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Caetano, G., Rilla, J., &amp; Pérez, R. (1987). La partidocracia uruguaya. Historia y teoría de la centralidad de los partidos políticos. </w:t>
      </w:r>
      <w:r w:rsidRPr="000F3EFB">
        <w:rPr>
          <w:rFonts w:ascii="Times New Roman" w:hAnsi="Times New Roman" w:cs="Times New Roman"/>
          <w:i/>
          <w:iCs/>
          <w:sz w:val="20"/>
          <w:szCs w:val="20"/>
        </w:rPr>
        <w:t>Cuadernos del Claeh</w:t>
      </w:r>
      <w:r w:rsidRPr="000F3EFB">
        <w:rPr>
          <w:rFonts w:ascii="Times New Roman" w:hAnsi="Times New Roman" w:cs="Times New Roman"/>
          <w:sz w:val="20"/>
          <w:szCs w:val="20"/>
        </w:rPr>
        <w:t xml:space="preserve">, </w:t>
      </w:r>
      <w:r w:rsidRPr="000F3EFB">
        <w:rPr>
          <w:rFonts w:ascii="Times New Roman" w:hAnsi="Times New Roman" w:cs="Times New Roman"/>
          <w:i/>
          <w:iCs/>
          <w:sz w:val="20"/>
          <w:szCs w:val="20"/>
        </w:rPr>
        <w:t>44</w:t>
      </w:r>
      <w:r w:rsidRPr="000F3EFB">
        <w:rPr>
          <w:rFonts w:ascii="Times New Roman" w:hAnsi="Times New Roman" w:cs="Times New Roman"/>
          <w:sz w:val="20"/>
          <w:szCs w:val="20"/>
        </w:rPr>
        <w:t>.</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Cardarello, A., &amp; Nieto, E. (2021). Los desafíos de la democracia subnacional en Uruguay. </w:t>
      </w:r>
      <w:r w:rsidRPr="000F3EFB">
        <w:rPr>
          <w:rFonts w:ascii="Times New Roman" w:hAnsi="Times New Roman" w:cs="Times New Roman"/>
          <w:i/>
          <w:iCs/>
          <w:sz w:val="20"/>
          <w:szCs w:val="20"/>
        </w:rPr>
        <w:t>En Perspectiva</w:t>
      </w:r>
      <w:r w:rsidRPr="000F3EFB">
        <w:rPr>
          <w:rFonts w:ascii="Times New Roman" w:hAnsi="Times New Roman" w:cs="Times New Roman"/>
          <w:sz w:val="20"/>
          <w:szCs w:val="20"/>
        </w:rPr>
        <w:t>. https://enperspectiva.uy/wp-content/uploads/2022/05/Cardarello-Nieto-Democracia-subnacional-en-Uruguay.-La-Maquina-de-Aprender-2022.pdf</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lang w:val="en-NZ"/>
        </w:rPr>
        <w:t xml:space="preserve">Cox, G. W. (1997). </w:t>
      </w:r>
      <w:r w:rsidRPr="000F3EFB">
        <w:rPr>
          <w:rFonts w:ascii="Times New Roman" w:hAnsi="Times New Roman" w:cs="Times New Roman"/>
          <w:i/>
          <w:iCs/>
          <w:sz w:val="20"/>
          <w:szCs w:val="20"/>
          <w:lang w:val="en-NZ"/>
        </w:rPr>
        <w:t>Making votes count: Strategic coordination in the world’s electoral systems</w:t>
      </w:r>
      <w:r w:rsidRPr="000F3EFB">
        <w:rPr>
          <w:rFonts w:ascii="Times New Roman" w:hAnsi="Times New Roman" w:cs="Times New Roman"/>
          <w:sz w:val="20"/>
          <w:szCs w:val="20"/>
          <w:lang w:val="en-NZ"/>
        </w:rPr>
        <w:t>. Cambridge University Press.</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lang w:val="en-NZ"/>
        </w:rPr>
        <w:t xml:space="preserve">Dalton, R. J. (2008). The Quantity and the Quality of Party Systems: Party System Polarization, Its Measurement, and Its Consequences. </w:t>
      </w:r>
      <w:r w:rsidRPr="000F3EFB">
        <w:rPr>
          <w:rFonts w:ascii="Times New Roman" w:hAnsi="Times New Roman" w:cs="Times New Roman"/>
          <w:i/>
          <w:iCs/>
          <w:sz w:val="20"/>
          <w:szCs w:val="20"/>
        </w:rPr>
        <w:t>Comparative Political Studies</w:t>
      </w:r>
      <w:r w:rsidRPr="000F3EFB">
        <w:rPr>
          <w:rFonts w:ascii="Times New Roman" w:hAnsi="Times New Roman" w:cs="Times New Roman"/>
          <w:sz w:val="20"/>
          <w:szCs w:val="20"/>
        </w:rPr>
        <w:t xml:space="preserve">, </w:t>
      </w:r>
      <w:r w:rsidRPr="000F3EFB">
        <w:rPr>
          <w:rFonts w:ascii="Times New Roman" w:hAnsi="Times New Roman" w:cs="Times New Roman"/>
          <w:i/>
          <w:iCs/>
          <w:sz w:val="20"/>
          <w:szCs w:val="20"/>
        </w:rPr>
        <w:t>41</w:t>
      </w:r>
      <w:r w:rsidRPr="000F3EFB">
        <w:rPr>
          <w:rFonts w:ascii="Times New Roman" w:hAnsi="Times New Roman" w:cs="Times New Roman"/>
          <w:sz w:val="20"/>
          <w:szCs w:val="20"/>
        </w:rPr>
        <w:t>(7), 899-920. https://doi.org/10.1177/0010414008315860</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De León, N. (2013). </w:t>
      </w:r>
      <w:r w:rsidRPr="000F3EFB">
        <w:rPr>
          <w:rFonts w:ascii="Times New Roman" w:hAnsi="Times New Roman" w:cs="Times New Roman"/>
          <w:i/>
          <w:iCs/>
          <w:sz w:val="20"/>
          <w:szCs w:val="20"/>
        </w:rPr>
        <w:t>Salud mental en debate: Pasado, presente y futuro de las politicas en salud mental</w:t>
      </w:r>
      <w:r w:rsidRPr="000F3EFB">
        <w:rPr>
          <w:rFonts w:ascii="Times New Roman" w:hAnsi="Times New Roman" w:cs="Times New Roman"/>
          <w:sz w:val="20"/>
          <w:szCs w:val="20"/>
        </w:rPr>
        <w:t>. Udelar-CSIC.</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lastRenderedPageBreak/>
        <w:t xml:space="preserve">Espí Hernández. (2021). </w:t>
      </w:r>
      <w:r w:rsidRPr="000F3EFB">
        <w:rPr>
          <w:rFonts w:ascii="Times New Roman" w:hAnsi="Times New Roman" w:cs="Times New Roman"/>
          <w:i/>
          <w:iCs/>
          <w:sz w:val="20"/>
          <w:szCs w:val="20"/>
        </w:rPr>
        <w:t>Uruguay: El país que supo reducir la desigualdad y la pobreza. Un análisis de su desarrollo social bajo el enfoque de los ODS 1, 5 y 10.</w:t>
      </w:r>
      <w:r w:rsidRPr="000F3EFB">
        <w:rPr>
          <w:rFonts w:ascii="Times New Roman" w:hAnsi="Times New Roman" w:cs="Times New Roman"/>
          <w:sz w:val="20"/>
          <w:szCs w:val="20"/>
        </w:rPr>
        <w:t xml:space="preserve"> FCS-Udelar.</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Freigedo, M. (2008). </w:t>
      </w:r>
      <w:r w:rsidRPr="000F3EFB">
        <w:rPr>
          <w:rFonts w:ascii="Times New Roman" w:hAnsi="Times New Roman" w:cs="Times New Roman"/>
          <w:i/>
          <w:iCs/>
          <w:sz w:val="20"/>
          <w:szCs w:val="20"/>
        </w:rPr>
        <w:t>Las políticas públicas ambientalistas en el área metropolitana de Montevideo (1985/2008)</w:t>
      </w:r>
      <w:r w:rsidRPr="000F3EFB">
        <w:rPr>
          <w:rFonts w:ascii="Times New Roman" w:hAnsi="Times New Roman" w:cs="Times New Roman"/>
          <w:sz w:val="20"/>
          <w:szCs w:val="20"/>
        </w:rPr>
        <w:t xml:space="preserve"> [Tesis de grado]. Universidad de la República.</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Gervasoni, C. (2011). Una teoría rentística de los regímenes subnacionales: Federalismo fiscal, democracia y autoritarismo en las provincias argentinas. </w:t>
      </w:r>
      <w:r w:rsidRPr="000F3EFB">
        <w:rPr>
          <w:rFonts w:ascii="Times New Roman" w:hAnsi="Times New Roman" w:cs="Times New Roman"/>
          <w:i/>
          <w:iCs/>
          <w:sz w:val="20"/>
          <w:szCs w:val="20"/>
        </w:rPr>
        <w:t>Desarrollo Económico</w:t>
      </w:r>
      <w:r w:rsidRPr="000F3EFB">
        <w:rPr>
          <w:rFonts w:ascii="Times New Roman" w:hAnsi="Times New Roman" w:cs="Times New Roman"/>
          <w:sz w:val="20"/>
          <w:szCs w:val="20"/>
        </w:rPr>
        <w:t>, 579-610.</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Horta, R., Camacho, M., &amp; Silveira, L. (2017). </w:t>
      </w:r>
      <w:r w:rsidRPr="000F3EFB">
        <w:rPr>
          <w:rFonts w:ascii="Times New Roman" w:hAnsi="Times New Roman" w:cs="Times New Roman"/>
          <w:i/>
          <w:iCs/>
          <w:sz w:val="20"/>
          <w:szCs w:val="20"/>
        </w:rPr>
        <w:t>Indicadores de competitividad departamental en Uruguay</w:t>
      </w:r>
      <w:r w:rsidRPr="000F3EFB">
        <w:rPr>
          <w:rFonts w:ascii="Times New Roman" w:hAnsi="Times New Roman" w:cs="Times New Roman"/>
          <w:sz w:val="20"/>
          <w:szCs w:val="20"/>
        </w:rPr>
        <w:t>. Pharos: Análisis y Propuestas de la Academia Nacional de Economía.</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lang w:val="en-NZ"/>
        </w:rPr>
        <w:t xml:space="preserve">Laakso, M., &amp; Taagepera, R. (1979). “Effective” Number of Parties: A Measure with Application to West Europe. </w:t>
      </w:r>
      <w:r w:rsidRPr="000F3EFB">
        <w:rPr>
          <w:rFonts w:ascii="Times New Roman" w:hAnsi="Times New Roman" w:cs="Times New Roman"/>
          <w:i/>
          <w:iCs/>
          <w:sz w:val="20"/>
          <w:szCs w:val="20"/>
          <w:lang w:val="en-NZ"/>
        </w:rPr>
        <w:t>Comparative Political Studies</w:t>
      </w:r>
      <w:r w:rsidRPr="000F3EFB">
        <w:rPr>
          <w:rFonts w:ascii="Times New Roman" w:hAnsi="Times New Roman" w:cs="Times New Roman"/>
          <w:sz w:val="20"/>
          <w:szCs w:val="20"/>
          <w:lang w:val="en-NZ"/>
        </w:rPr>
        <w:t xml:space="preserve">, </w:t>
      </w:r>
      <w:r w:rsidRPr="000F3EFB">
        <w:rPr>
          <w:rFonts w:ascii="Times New Roman" w:hAnsi="Times New Roman" w:cs="Times New Roman"/>
          <w:i/>
          <w:iCs/>
          <w:sz w:val="20"/>
          <w:szCs w:val="20"/>
          <w:lang w:val="en-NZ"/>
        </w:rPr>
        <w:t>12</w:t>
      </w:r>
      <w:r w:rsidRPr="000F3EFB">
        <w:rPr>
          <w:rFonts w:ascii="Times New Roman" w:hAnsi="Times New Roman" w:cs="Times New Roman"/>
          <w:sz w:val="20"/>
          <w:szCs w:val="20"/>
          <w:lang w:val="en-NZ"/>
        </w:rPr>
        <w:t>(1), 3-27. https://doi.org/10.1177/001041407901200101</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lang w:val="en-NZ"/>
        </w:rPr>
        <w:t xml:space="preserve">Mainwaring, S., &amp; Scully, T. R. (1995). </w:t>
      </w:r>
      <w:r w:rsidRPr="000F3EFB">
        <w:rPr>
          <w:rFonts w:ascii="Times New Roman" w:hAnsi="Times New Roman" w:cs="Times New Roman"/>
          <w:sz w:val="20"/>
          <w:szCs w:val="20"/>
        </w:rPr>
        <w:t xml:space="preserve">La institucionalización de los sistemas de partido en la América Latina. </w:t>
      </w:r>
      <w:r w:rsidRPr="000F3EFB">
        <w:rPr>
          <w:rFonts w:ascii="Times New Roman" w:hAnsi="Times New Roman" w:cs="Times New Roman"/>
          <w:i/>
          <w:iCs/>
          <w:sz w:val="20"/>
          <w:szCs w:val="20"/>
        </w:rPr>
        <w:t>América Latina Hoy</w:t>
      </w:r>
      <w:r w:rsidRPr="000F3EFB">
        <w:rPr>
          <w:rFonts w:ascii="Times New Roman" w:hAnsi="Times New Roman" w:cs="Times New Roman"/>
          <w:sz w:val="20"/>
          <w:szCs w:val="20"/>
        </w:rPr>
        <w:t xml:space="preserve">, </w:t>
      </w:r>
      <w:r w:rsidRPr="000F3EFB">
        <w:rPr>
          <w:rFonts w:ascii="Times New Roman" w:hAnsi="Times New Roman" w:cs="Times New Roman"/>
          <w:i/>
          <w:iCs/>
          <w:sz w:val="20"/>
          <w:szCs w:val="20"/>
        </w:rPr>
        <w:t>16</w:t>
      </w:r>
      <w:r w:rsidRPr="000F3EFB">
        <w:rPr>
          <w:rFonts w:ascii="Times New Roman" w:hAnsi="Times New Roman" w:cs="Times New Roman"/>
          <w:sz w:val="20"/>
          <w:szCs w:val="20"/>
        </w:rPr>
        <w:t>. https://doi.org/10.14201/alh.2107</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Menéndez-Carrión, A. (2019). Revisitando un outlier El domicilio insospechado de la excepcionalidad uruguaya. </w:t>
      </w:r>
      <w:r w:rsidRPr="000F3EFB">
        <w:rPr>
          <w:rFonts w:ascii="Times New Roman" w:hAnsi="Times New Roman" w:cs="Times New Roman"/>
          <w:i/>
          <w:iCs/>
          <w:sz w:val="20"/>
          <w:szCs w:val="20"/>
        </w:rPr>
        <w:t>Revista de Ciencias Sociales</w:t>
      </w:r>
      <w:r w:rsidRPr="000F3EFB">
        <w:rPr>
          <w:rFonts w:ascii="Times New Roman" w:hAnsi="Times New Roman" w:cs="Times New Roman"/>
          <w:sz w:val="20"/>
          <w:szCs w:val="20"/>
        </w:rPr>
        <w:t xml:space="preserve">, </w:t>
      </w:r>
      <w:r w:rsidRPr="000F3EFB">
        <w:rPr>
          <w:rFonts w:ascii="Times New Roman" w:hAnsi="Times New Roman" w:cs="Times New Roman"/>
          <w:i/>
          <w:iCs/>
          <w:sz w:val="20"/>
          <w:szCs w:val="20"/>
        </w:rPr>
        <w:t>33</w:t>
      </w:r>
      <w:r w:rsidRPr="000F3EFB">
        <w:rPr>
          <w:rFonts w:ascii="Times New Roman" w:hAnsi="Times New Roman" w:cs="Times New Roman"/>
          <w:sz w:val="20"/>
          <w:szCs w:val="20"/>
        </w:rPr>
        <w:t>(47). https://doi.org/10.26489/rvs.v32i44.6</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Montes, V. (2019). </w:t>
      </w:r>
      <w:r w:rsidRPr="000F3EFB">
        <w:rPr>
          <w:rFonts w:ascii="Times New Roman" w:hAnsi="Times New Roman" w:cs="Times New Roman"/>
          <w:i/>
          <w:iCs/>
          <w:sz w:val="20"/>
          <w:szCs w:val="20"/>
        </w:rPr>
        <w:t>Suicidio: El caso de Uruguay</w:t>
      </w:r>
      <w:r w:rsidRPr="000F3EFB">
        <w:rPr>
          <w:rFonts w:ascii="Times New Roman" w:hAnsi="Times New Roman" w:cs="Times New Roman"/>
          <w:sz w:val="20"/>
          <w:szCs w:val="20"/>
        </w:rPr>
        <w:t xml:space="preserve"> [Tesis de grado]. Universidad de la República.</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Moraes, J., Acosta y Lara, F., Martínez, G., &amp; Wilchinski, M. (2021). We are fantastic. Are we? En </w:t>
      </w:r>
      <w:r w:rsidRPr="000F3EFB">
        <w:rPr>
          <w:rFonts w:ascii="Times New Roman" w:hAnsi="Times New Roman" w:cs="Times New Roman"/>
          <w:i/>
          <w:iCs/>
          <w:sz w:val="20"/>
          <w:szCs w:val="20"/>
        </w:rPr>
        <w:t>De la estabilidad al equilibrio inestable: Elecciones y comportamiento electoral</w:t>
      </w:r>
      <w:r w:rsidRPr="000F3EFB">
        <w:rPr>
          <w:rFonts w:ascii="Times New Roman" w:hAnsi="Times New Roman" w:cs="Times New Roman"/>
          <w:sz w:val="20"/>
          <w:szCs w:val="20"/>
        </w:rPr>
        <w:t>. Departamento de Ciencia Política, FCS-Udelar.</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Moraes, J., &amp; Pérez, V. (2021). Introducción. En </w:t>
      </w:r>
      <w:r w:rsidRPr="000F3EFB">
        <w:rPr>
          <w:rFonts w:ascii="Times New Roman" w:hAnsi="Times New Roman" w:cs="Times New Roman"/>
          <w:i/>
          <w:iCs/>
          <w:sz w:val="20"/>
          <w:szCs w:val="20"/>
        </w:rPr>
        <w:t>De la estabilidad al equilibrio inestable: Elecciones y comportamiento electoral</w:t>
      </w:r>
      <w:r w:rsidRPr="000F3EFB">
        <w:rPr>
          <w:rFonts w:ascii="Times New Roman" w:hAnsi="Times New Roman" w:cs="Times New Roman"/>
          <w:sz w:val="20"/>
          <w:szCs w:val="20"/>
        </w:rPr>
        <w:t>. Departamento de Ciencia Política, FCS-Udelar.</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Nocetto, L., Piñeiro, R., &amp; Rosenblatt, F. (2020). Uruguay 2019: Fin del ciclo progresista y reestructura del sistema de partidos. </w:t>
      </w:r>
      <w:r w:rsidRPr="000F3EFB">
        <w:rPr>
          <w:rFonts w:ascii="Times New Roman" w:hAnsi="Times New Roman" w:cs="Times New Roman"/>
          <w:i/>
          <w:iCs/>
          <w:sz w:val="20"/>
          <w:szCs w:val="20"/>
        </w:rPr>
        <w:t>Revista de Ciencia Política (Santiago)</w:t>
      </w:r>
      <w:r w:rsidRPr="000F3EFB">
        <w:rPr>
          <w:rFonts w:ascii="Times New Roman" w:hAnsi="Times New Roman" w:cs="Times New Roman"/>
          <w:sz w:val="20"/>
          <w:szCs w:val="20"/>
        </w:rPr>
        <w:t xml:space="preserve">, </w:t>
      </w:r>
      <w:r w:rsidRPr="000F3EFB">
        <w:rPr>
          <w:rFonts w:ascii="Times New Roman" w:hAnsi="Times New Roman" w:cs="Times New Roman"/>
          <w:i/>
          <w:iCs/>
          <w:sz w:val="20"/>
          <w:szCs w:val="20"/>
        </w:rPr>
        <w:t>ahead</w:t>
      </w:r>
      <w:r w:rsidRPr="000F3EFB">
        <w:rPr>
          <w:rFonts w:ascii="Times New Roman" w:hAnsi="Times New Roman" w:cs="Times New Roman"/>
          <w:sz w:val="20"/>
          <w:szCs w:val="20"/>
        </w:rPr>
        <w:t>, 0-0. https://doi.org/10.4067/S0718-090X2020005000117</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OPP. (2018). </w:t>
      </w:r>
      <w:r w:rsidRPr="000F3EFB">
        <w:rPr>
          <w:rFonts w:ascii="Times New Roman" w:hAnsi="Times New Roman" w:cs="Times New Roman"/>
          <w:i/>
          <w:iCs/>
          <w:sz w:val="20"/>
          <w:szCs w:val="20"/>
        </w:rPr>
        <w:t>Índice de desarrollo humano por departamento. Síntesis metodológica y de resultados.</w:t>
      </w:r>
      <w:r w:rsidRPr="000F3EFB">
        <w:rPr>
          <w:rFonts w:ascii="Times New Roman" w:hAnsi="Times New Roman" w:cs="Times New Roman"/>
          <w:sz w:val="20"/>
          <w:szCs w:val="20"/>
        </w:rPr>
        <w:t xml:space="preserve"> https://otu.opp.gub.uy/gestor/imagesbiblioteca/IDH%20-%20S%C3%ADntesis%20metodológica%20y%20de%20resultados_2.pdf</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rPr>
        <w:t xml:space="preserve">Payne, J. M., Zovatto G., D., &amp; Mateo Díaz, M. (Eds.). (2006). </w:t>
      </w:r>
      <w:r w:rsidRPr="000F3EFB">
        <w:rPr>
          <w:rFonts w:ascii="Times New Roman" w:hAnsi="Times New Roman" w:cs="Times New Roman"/>
          <w:i/>
          <w:iCs/>
          <w:sz w:val="20"/>
          <w:szCs w:val="20"/>
        </w:rPr>
        <w:t>La política importa: Democracia y desarrollo en América Latina</w:t>
      </w:r>
      <w:r w:rsidRPr="000F3EFB">
        <w:rPr>
          <w:rFonts w:ascii="Times New Roman" w:hAnsi="Times New Roman" w:cs="Times New Roman"/>
          <w:sz w:val="20"/>
          <w:szCs w:val="20"/>
        </w:rPr>
        <w:t xml:space="preserve"> (Ed. rev). </w:t>
      </w:r>
      <w:r w:rsidRPr="000F3EFB">
        <w:rPr>
          <w:rFonts w:ascii="Times New Roman" w:hAnsi="Times New Roman" w:cs="Times New Roman"/>
          <w:sz w:val="20"/>
          <w:szCs w:val="20"/>
          <w:lang w:val="en-NZ"/>
        </w:rPr>
        <w:t>Banco Interamericano de Desarrollo.</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lang w:val="en-NZ"/>
        </w:rPr>
        <w:t xml:space="preserve">Pedersen, M. N. (1979). The dynamics of West European party systems: Changing patterns of electoral volatility. </w:t>
      </w:r>
      <w:r w:rsidRPr="000F3EFB">
        <w:rPr>
          <w:rFonts w:ascii="Times New Roman" w:hAnsi="Times New Roman" w:cs="Times New Roman"/>
          <w:i/>
          <w:iCs/>
          <w:sz w:val="20"/>
          <w:szCs w:val="20"/>
          <w:lang w:val="en-NZ"/>
        </w:rPr>
        <w:t>European Journal of Political Research</w:t>
      </w:r>
      <w:r w:rsidRPr="000F3EFB">
        <w:rPr>
          <w:rFonts w:ascii="Times New Roman" w:hAnsi="Times New Roman" w:cs="Times New Roman"/>
          <w:sz w:val="20"/>
          <w:szCs w:val="20"/>
          <w:lang w:val="en-NZ"/>
        </w:rPr>
        <w:t xml:space="preserve">, </w:t>
      </w:r>
      <w:r w:rsidRPr="000F3EFB">
        <w:rPr>
          <w:rFonts w:ascii="Times New Roman" w:hAnsi="Times New Roman" w:cs="Times New Roman"/>
          <w:i/>
          <w:iCs/>
          <w:sz w:val="20"/>
          <w:szCs w:val="20"/>
          <w:lang w:val="en-NZ"/>
        </w:rPr>
        <w:t>1</w:t>
      </w:r>
      <w:r w:rsidRPr="000F3EFB">
        <w:rPr>
          <w:rFonts w:ascii="Times New Roman" w:hAnsi="Times New Roman" w:cs="Times New Roman"/>
          <w:sz w:val="20"/>
          <w:szCs w:val="20"/>
          <w:lang w:val="en-NZ"/>
        </w:rPr>
        <w:t>(26), 83-98. https://doi.org/10.1023/A:1006878715574</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lang w:val="en-NZ"/>
        </w:rPr>
        <w:t xml:space="preserve">Pino, J. (2017). </w:t>
      </w:r>
      <w:r w:rsidRPr="000F3EFB">
        <w:rPr>
          <w:rFonts w:ascii="Times New Roman" w:hAnsi="Times New Roman" w:cs="Times New Roman"/>
          <w:sz w:val="20"/>
          <w:szCs w:val="20"/>
        </w:rPr>
        <w:t xml:space="preserve">Entre democracias y autoritarismos: Una mirada crítica al estudio de la democracia subnacional en Colombia y Latinoamérica. </w:t>
      </w:r>
      <w:r w:rsidRPr="000F3EFB">
        <w:rPr>
          <w:rFonts w:ascii="Times New Roman" w:hAnsi="Times New Roman" w:cs="Times New Roman"/>
          <w:i/>
          <w:iCs/>
          <w:sz w:val="20"/>
          <w:szCs w:val="20"/>
          <w:lang w:val="en-NZ"/>
        </w:rPr>
        <w:t>Colombia Internacional</w:t>
      </w:r>
      <w:r w:rsidRPr="000F3EFB">
        <w:rPr>
          <w:rFonts w:ascii="Times New Roman" w:hAnsi="Times New Roman" w:cs="Times New Roman"/>
          <w:sz w:val="20"/>
          <w:szCs w:val="20"/>
          <w:lang w:val="en-NZ"/>
        </w:rPr>
        <w:t xml:space="preserve">, </w:t>
      </w:r>
      <w:r w:rsidRPr="000F3EFB">
        <w:rPr>
          <w:rFonts w:ascii="Times New Roman" w:hAnsi="Times New Roman" w:cs="Times New Roman"/>
          <w:i/>
          <w:iCs/>
          <w:sz w:val="20"/>
          <w:szCs w:val="20"/>
          <w:lang w:val="en-NZ"/>
        </w:rPr>
        <w:t>91</w:t>
      </w:r>
      <w:r w:rsidRPr="000F3EFB">
        <w:rPr>
          <w:rFonts w:ascii="Times New Roman" w:hAnsi="Times New Roman" w:cs="Times New Roman"/>
          <w:sz w:val="20"/>
          <w:szCs w:val="20"/>
          <w:lang w:val="en-NZ"/>
        </w:rPr>
        <w:t>, 215-242.</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lang w:val="en-NZ"/>
        </w:rPr>
        <w:t xml:space="preserve">Piñeiro Rodríguez, R., &amp; Rosenblatt, F. (2020). Stability and incorporation: Toward a new concept of party system institutionalization. </w:t>
      </w:r>
      <w:r w:rsidRPr="000F3EFB">
        <w:rPr>
          <w:rFonts w:ascii="Times New Roman" w:hAnsi="Times New Roman" w:cs="Times New Roman"/>
          <w:i/>
          <w:iCs/>
          <w:sz w:val="20"/>
          <w:szCs w:val="20"/>
          <w:lang w:val="en-NZ"/>
        </w:rPr>
        <w:t>Party Politics</w:t>
      </w:r>
      <w:r w:rsidRPr="000F3EFB">
        <w:rPr>
          <w:rFonts w:ascii="Times New Roman" w:hAnsi="Times New Roman" w:cs="Times New Roman"/>
          <w:sz w:val="20"/>
          <w:szCs w:val="20"/>
          <w:lang w:val="en-NZ"/>
        </w:rPr>
        <w:t xml:space="preserve">, </w:t>
      </w:r>
      <w:r w:rsidRPr="000F3EFB">
        <w:rPr>
          <w:rFonts w:ascii="Times New Roman" w:hAnsi="Times New Roman" w:cs="Times New Roman"/>
          <w:i/>
          <w:iCs/>
          <w:sz w:val="20"/>
          <w:szCs w:val="20"/>
          <w:lang w:val="en-NZ"/>
        </w:rPr>
        <w:t>26</w:t>
      </w:r>
      <w:r w:rsidRPr="000F3EFB">
        <w:rPr>
          <w:rFonts w:ascii="Times New Roman" w:hAnsi="Times New Roman" w:cs="Times New Roman"/>
          <w:sz w:val="20"/>
          <w:szCs w:val="20"/>
          <w:lang w:val="en-NZ"/>
        </w:rPr>
        <w:t>(2), 249-260. https://doi.org/10.1177/1354068818777895</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lang w:val="en-NZ"/>
        </w:rPr>
        <w:t xml:space="preserve">Powell, E. N., &amp; Tucker, J. A. (2014). Revisiting Electoral Volatility in Post-Communist Countries: New Data, New Results and New Approaches. </w:t>
      </w:r>
      <w:r w:rsidRPr="000F3EFB">
        <w:rPr>
          <w:rFonts w:ascii="Times New Roman" w:hAnsi="Times New Roman" w:cs="Times New Roman"/>
          <w:i/>
          <w:iCs/>
          <w:sz w:val="20"/>
          <w:szCs w:val="20"/>
          <w:lang w:val="en-NZ"/>
        </w:rPr>
        <w:t>British Journal of Political Science</w:t>
      </w:r>
      <w:r w:rsidRPr="000F3EFB">
        <w:rPr>
          <w:rFonts w:ascii="Times New Roman" w:hAnsi="Times New Roman" w:cs="Times New Roman"/>
          <w:sz w:val="20"/>
          <w:szCs w:val="20"/>
          <w:lang w:val="en-NZ"/>
        </w:rPr>
        <w:t xml:space="preserve">, </w:t>
      </w:r>
      <w:r w:rsidRPr="000F3EFB">
        <w:rPr>
          <w:rFonts w:ascii="Times New Roman" w:hAnsi="Times New Roman" w:cs="Times New Roman"/>
          <w:i/>
          <w:iCs/>
          <w:sz w:val="20"/>
          <w:szCs w:val="20"/>
          <w:lang w:val="en-NZ"/>
        </w:rPr>
        <w:t>44</w:t>
      </w:r>
      <w:r w:rsidRPr="000F3EFB">
        <w:rPr>
          <w:rFonts w:ascii="Times New Roman" w:hAnsi="Times New Roman" w:cs="Times New Roman"/>
          <w:sz w:val="20"/>
          <w:szCs w:val="20"/>
          <w:lang w:val="en-NZ"/>
        </w:rPr>
        <w:t>(1), 123-147. https://doi.org/10.1017/S0007123412000531</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lang w:val="en-NZ"/>
        </w:rPr>
        <w:t xml:space="preserve">Rama, G. (1995). </w:t>
      </w:r>
      <w:r w:rsidRPr="000F3EFB">
        <w:rPr>
          <w:rFonts w:ascii="Times New Roman" w:hAnsi="Times New Roman" w:cs="Times New Roman"/>
          <w:i/>
          <w:iCs/>
          <w:sz w:val="20"/>
          <w:szCs w:val="20"/>
        </w:rPr>
        <w:t>La democracia en Uruguay: Una perspectiva de interpretación</w:t>
      </w:r>
      <w:r w:rsidRPr="000F3EFB">
        <w:rPr>
          <w:rFonts w:ascii="Times New Roman" w:hAnsi="Times New Roman" w:cs="Times New Roman"/>
          <w:sz w:val="20"/>
          <w:szCs w:val="20"/>
        </w:rPr>
        <w:t xml:space="preserve"> (Araca).</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lang w:val="en-NZ"/>
        </w:rPr>
        <w:t xml:space="preserve">Repucci, S., &amp; Slipowitz, A. (2021). </w:t>
      </w:r>
      <w:r w:rsidRPr="000F3EFB">
        <w:rPr>
          <w:rFonts w:ascii="Times New Roman" w:hAnsi="Times New Roman" w:cs="Times New Roman"/>
          <w:i/>
          <w:iCs/>
          <w:sz w:val="20"/>
          <w:szCs w:val="20"/>
          <w:lang w:val="en-NZ"/>
        </w:rPr>
        <w:t>Democracy under siege</w:t>
      </w:r>
      <w:r w:rsidRPr="000F3EFB">
        <w:rPr>
          <w:rFonts w:ascii="Times New Roman" w:hAnsi="Times New Roman" w:cs="Times New Roman"/>
          <w:sz w:val="20"/>
          <w:szCs w:val="20"/>
          <w:lang w:val="en-NZ"/>
        </w:rPr>
        <w:t>. Freedom House.</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lang w:val="en-NZ"/>
        </w:rPr>
        <w:lastRenderedPageBreak/>
        <w:t xml:space="preserve">Rial, J., &amp; Perelli, C. (1986). </w:t>
      </w:r>
      <w:r w:rsidRPr="000F3EFB">
        <w:rPr>
          <w:rFonts w:ascii="Times New Roman" w:hAnsi="Times New Roman" w:cs="Times New Roman"/>
          <w:i/>
          <w:iCs/>
          <w:sz w:val="20"/>
          <w:szCs w:val="20"/>
        </w:rPr>
        <w:t>De mitos y memorias políticas: La represión, el miedo y después.</w:t>
      </w:r>
      <w:r w:rsidRPr="000F3EFB">
        <w:rPr>
          <w:rFonts w:ascii="Times New Roman" w:hAnsi="Times New Roman" w:cs="Times New Roman"/>
          <w:sz w:val="20"/>
          <w:szCs w:val="20"/>
        </w:rPr>
        <w:t xml:space="preserve"> Banda Oriental.</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Rico, Á. (2005). </w:t>
      </w:r>
      <w:r w:rsidRPr="000F3EFB">
        <w:rPr>
          <w:rFonts w:ascii="Times New Roman" w:hAnsi="Times New Roman" w:cs="Times New Roman"/>
          <w:i/>
          <w:iCs/>
          <w:sz w:val="20"/>
          <w:szCs w:val="20"/>
        </w:rPr>
        <w:t>Cómo nos domina la clase gobernante. Orden político y obediencia social en la democracia posdictadura. Uruguay 1985-2005.</w:t>
      </w:r>
      <w:r w:rsidRPr="000F3EFB">
        <w:rPr>
          <w:rFonts w:ascii="Times New Roman" w:hAnsi="Times New Roman" w:cs="Times New Roman"/>
          <w:sz w:val="20"/>
          <w:szCs w:val="20"/>
        </w:rPr>
        <w:t xml:space="preserve"> Ediciones Trilce.</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Rosas Huerta, A. (2008). Una ruta metodológica para evaluar la capacidad institucional. </w:t>
      </w:r>
      <w:r w:rsidRPr="000F3EFB">
        <w:rPr>
          <w:rFonts w:ascii="Times New Roman" w:hAnsi="Times New Roman" w:cs="Times New Roman"/>
          <w:i/>
          <w:iCs/>
          <w:sz w:val="20"/>
          <w:szCs w:val="20"/>
        </w:rPr>
        <w:t>Política y Cultura</w:t>
      </w:r>
      <w:r w:rsidRPr="000F3EFB">
        <w:rPr>
          <w:rFonts w:ascii="Times New Roman" w:hAnsi="Times New Roman" w:cs="Times New Roman"/>
          <w:sz w:val="20"/>
          <w:szCs w:val="20"/>
        </w:rPr>
        <w:t xml:space="preserve">, </w:t>
      </w:r>
      <w:r w:rsidRPr="000F3EFB">
        <w:rPr>
          <w:rFonts w:ascii="Times New Roman" w:hAnsi="Times New Roman" w:cs="Times New Roman"/>
          <w:i/>
          <w:iCs/>
          <w:sz w:val="20"/>
          <w:szCs w:val="20"/>
        </w:rPr>
        <w:t>30</w:t>
      </w:r>
      <w:r w:rsidRPr="000F3EFB">
        <w:rPr>
          <w:rFonts w:ascii="Times New Roman" w:hAnsi="Times New Roman" w:cs="Times New Roman"/>
          <w:sz w:val="20"/>
          <w:szCs w:val="20"/>
        </w:rPr>
        <w:t>, 119-134.</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rPr>
        <w:t xml:space="preserve">Sartori, G. (1991). Polarización, fragmentación y competencia en las democracias occidentales. </w:t>
      </w:r>
      <w:r w:rsidRPr="000F3EFB">
        <w:rPr>
          <w:rFonts w:ascii="Times New Roman" w:hAnsi="Times New Roman" w:cs="Times New Roman"/>
          <w:i/>
          <w:iCs/>
          <w:sz w:val="20"/>
          <w:szCs w:val="20"/>
          <w:lang w:val="en-NZ"/>
        </w:rPr>
        <w:t>Revista de Ciencia Política</w:t>
      </w:r>
      <w:r w:rsidRPr="000F3EFB">
        <w:rPr>
          <w:rFonts w:ascii="Times New Roman" w:hAnsi="Times New Roman" w:cs="Times New Roman"/>
          <w:sz w:val="20"/>
          <w:szCs w:val="20"/>
          <w:lang w:val="en-NZ"/>
        </w:rPr>
        <w:t xml:space="preserve">, </w:t>
      </w:r>
      <w:r w:rsidRPr="000F3EFB">
        <w:rPr>
          <w:rFonts w:ascii="Times New Roman" w:hAnsi="Times New Roman" w:cs="Times New Roman"/>
          <w:i/>
          <w:iCs/>
          <w:sz w:val="20"/>
          <w:szCs w:val="20"/>
          <w:lang w:val="en-NZ"/>
        </w:rPr>
        <w:t>13</w:t>
      </w:r>
      <w:r w:rsidRPr="000F3EFB">
        <w:rPr>
          <w:rFonts w:ascii="Times New Roman" w:hAnsi="Times New Roman" w:cs="Times New Roman"/>
          <w:sz w:val="20"/>
          <w:szCs w:val="20"/>
          <w:lang w:val="en-NZ"/>
        </w:rPr>
        <w:t>(1-2), 39-73.</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lang w:val="en-NZ"/>
        </w:rPr>
        <w:t xml:space="preserve">Sartori, G. (2005). </w:t>
      </w:r>
      <w:r w:rsidRPr="000F3EFB">
        <w:rPr>
          <w:rFonts w:ascii="Times New Roman" w:hAnsi="Times New Roman" w:cs="Times New Roman"/>
          <w:i/>
          <w:iCs/>
          <w:sz w:val="20"/>
          <w:szCs w:val="20"/>
          <w:lang w:val="en-NZ"/>
        </w:rPr>
        <w:t>Parties and party systems: A framework for analysis</w:t>
      </w:r>
      <w:r w:rsidRPr="000F3EFB">
        <w:rPr>
          <w:rFonts w:ascii="Times New Roman" w:hAnsi="Times New Roman" w:cs="Times New Roman"/>
          <w:sz w:val="20"/>
          <w:szCs w:val="20"/>
          <w:lang w:val="en-NZ"/>
        </w:rPr>
        <w:t>. ECPR.</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lang w:val="en-NZ"/>
        </w:rPr>
      </w:pPr>
      <w:r w:rsidRPr="000F3EFB">
        <w:rPr>
          <w:rFonts w:ascii="Times New Roman" w:hAnsi="Times New Roman" w:cs="Times New Roman"/>
          <w:sz w:val="20"/>
          <w:szCs w:val="20"/>
          <w:lang w:val="en-NZ"/>
        </w:rPr>
        <w:t xml:space="preserve">The Economist. (2021). </w:t>
      </w:r>
      <w:r w:rsidRPr="000F3EFB">
        <w:rPr>
          <w:rFonts w:ascii="Times New Roman" w:hAnsi="Times New Roman" w:cs="Times New Roman"/>
          <w:i/>
          <w:iCs/>
          <w:sz w:val="20"/>
          <w:szCs w:val="20"/>
          <w:lang w:val="en-NZ"/>
        </w:rPr>
        <w:t>Democracy Index 2021: The China challenge</w:t>
      </w:r>
      <w:r w:rsidRPr="000F3EFB">
        <w:rPr>
          <w:rFonts w:ascii="Times New Roman" w:hAnsi="Times New Roman" w:cs="Times New Roman"/>
          <w:sz w:val="20"/>
          <w:szCs w:val="20"/>
          <w:lang w:val="en-NZ"/>
        </w:rPr>
        <w:t>. https://www.eiu.com/n/campaigns/democracy-index-2021/</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Vanger, M. (1983). </w:t>
      </w:r>
      <w:r w:rsidRPr="000F3EFB">
        <w:rPr>
          <w:rFonts w:ascii="Times New Roman" w:hAnsi="Times New Roman" w:cs="Times New Roman"/>
          <w:i/>
          <w:iCs/>
          <w:sz w:val="20"/>
          <w:szCs w:val="20"/>
        </w:rPr>
        <w:t>El país modelo: José Batlle y Ordóñez 1907-1915.</w:t>
      </w:r>
      <w:r w:rsidRPr="000F3EFB">
        <w:rPr>
          <w:rFonts w:ascii="Times New Roman" w:hAnsi="Times New Roman" w:cs="Times New Roman"/>
          <w:sz w:val="20"/>
          <w:szCs w:val="20"/>
        </w:rPr>
        <w:t xml:space="preserve"> Arca - Banda Oriental.</w:t>
      </w:r>
    </w:p>
    <w:p w:rsidR="00B94A0A" w:rsidRPr="000F3EFB" w:rsidRDefault="00B94A0A" w:rsidP="000F3EFB">
      <w:pPr>
        <w:pStyle w:val="Bibliografa"/>
        <w:spacing w:line="360" w:lineRule="auto"/>
        <w:ind w:left="340" w:hanging="340"/>
        <w:jc w:val="both"/>
        <w:rPr>
          <w:rFonts w:ascii="Times New Roman" w:hAnsi="Times New Roman" w:cs="Times New Roman"/>
          <w:sz w:val="20"/>
          <w:szCs w:val="20"/>
        </w:rPr>
      </w:pPr>
      <w:r w:rsidRPr="000F3EFB">
        <w:rPr>
          <w:rFonts w:ascii="Times New Roman" w:hAnsi="Times New Roman" w:cs="Times New Roman"/>
          <w:sz w:val="20"/>
          <w:szCs w:val="20"/>
        </w:rPr>
        <w:t xml:space="preserve">Zannier Glückstern, F. (2021). </w:t>
      </w:r>
      <w:r w:rsidRPr="000F3EFB">
        <w:rPr>
          <w:rFonts w:ascii="Times New Roman" w:hAnsi="Times New Roman" w:cs="Times New Roman"/>
          <w:i/>
          <w:iCs/>
          <w:sz w:val="20"/>
          <w:szCs w:val="20"/>
        </w:rPr>
        <w:t>Ciencia política, cultura excepcionalista y racismo en Uruguay. Una reflexión crítica desde los estudios decoloniales.</w:t>
      </w:r>
      <w:r w:rsidRPr="000F3EFB">
        <w:rPr>
          <w:rFonts w:ascii="Times New Roman" w:hAnsi="Times New Roman" w:cs="Times New Roman"/>
          <w:sz w:val="20"/>
          <w:szCs w:val="20"/>
        </w:rPr>
        <w:t xml:space="preserve"> [Tesis de grado, Universidad de la República]. https://www.colibri.udelar.edu.uy/jspui/bitstream/20.500.12008/31151/1/TCP_ZannierFacundo.pdf</w:t>
      </w:r>
    </w:p>
    <w:p w:rsidR="00E56EF2" w:rsidRPr="000D2C17" w:rsidRDefault="00E56EF2" w:rsidP="000F3EFB">
      <w:pPr>
        <w:spacing w:after="0" w:line="360" w:lineRule="auto"/>
        <w:ind w:left="340" w:hanging="340"/>
        <w:jc w:val="both"/>
        <w:rPr>
          <w:rFonts w:ascii="Times New Roman" w:eastAsia="Times New Roman" w:hAnsi="Times New Roman" w:cs="Times New Roman"/>
          <w:sz w:val="20"/>
          <w:szCs w:val="20"/>
          <w:lang w:eastAsia="es-UY"/>
        </w:rPr>
      </w:pPr>
      <w:r w:rsidRPr="000F3EFB">
        <w:rPr>
          <w:rFonts w:ascii="Times New Roman" w:eastAsia="Times New Roman" w:hAnsi="Times New Roman" w:cs="Times New Roman"/>
          <w:sz w:val="20"/>
          <w:szCs w:val="20"/>
          <w:lang w:eastAsia="es-UY"/>
        </w:rPr>
        <w:fldChar w:fldCharType="end"/>
      </w:r>
    </w:p>
    <w:p w:rsidR="00821001" w:rsidRPr="000D2C17" w:rsidRDefault="00821001" w:rsidP="000D2C17">
      <w:pPr>
        <w:spacing w:after="0" w:line="360" w:lineRule="auto"/>
        <w:ind w:firstLine="340"/>
        <w:rPr>
          <w:rFonts w:ascii="Times New Roman" w:hAnsi="Times New Roman" w:cs="Times New Roman"/>
        </w:rPr>
      </w:pPr>
    </w:p>
    <w:sectPr w:rsidR="00821001" w:rsidRPr="000D2C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92A16"/>
    <w:multiLevelType w:val="hybridMultilevel"/>
    <w:tmpl w:val="72FCCB54"/>
    <w:lvl w:ilvl="0" w:tplc="B71AEEA0">
      <w:start w:val="1"/>
      <w:numFmt w:val="decimal"/>
      <w:pStyle w:val="Subttulo"/>
      <w:lvlText w:val="%1."/>
      <w:lvlJc w:val="left"/>
      <w:pPr>
        <w:ind w:left="644" w:hanging="360"/>
      </w:pPr>
      <w:rPr>
        <w:rFonts w:hint="default"/>
        <w:b w:val="0"/>
        <w:bCs w:val="0"/>
        <w:i/>
        <w:iCs/>
      </w:rPr>
    </w:lvl>
    <w:lvl w:ilvl="1" w:tplc="380A000F">
      <w:start w:val="1"/>
      <w:numFmt w:val="decimal"/>
      <w:lvlText w:val="%2."/>
      <w:lvlJc w:val="left"/>
      <w:pPr>
        <w:ind w:left="1364" w:hanging="360"/>
      </w:pPr>
    </w:lvl>
    <w:lvl w:ilvl="2" w:tplc="380A001B" w:tentative="1">
      <w:start w:val="1"/>
      <w:numFmt w:val="lowerRoman"/>
      <w:lvlText w:val="%3."/>
      <w:lvlJc w:val="right"/>
      <w:pPr>
        <w:ind w:left="2084" w:hanging="180"/>
      </w:pPr>
    </w:lvl>
    <w:lvl w:ilvl="3" w:tplc="380A000F" w:tentative="1">
      <w:start w:val="1"/>
      <w:numFmt w:val="decimal"/>
      <w:lvlText w:val="%4."/>
      <w:lvlJc w:val="left"/>
      <w:pPr>
        <w:ind w:left="2804" w:hanging="360"/>
      </w:pPr>
    </w:lvl>
    <w:lvl w:ilvl="4" w:tplc="380A0019" w:tentative="1">
      <w:start w:val="1"/>
      <w:numFmt w:val="lowerLetter"/>
      <w:lvlText w:val="%5."/>
      <w:lvlJc w:val="left"/>
      <w:pPr>
        <w:ind w:left="3524" w:hanging="360"/>
      </w:pPr>
    </w:lvl>
    <w:lvl w:ilvl="5" w:tplc="380A001B" w:tentative="1">
      <w:start w:val="1"/>
      <w:numFmt w:val="lowerRoman"/>
      <w:lvlText w:val="%6."/>
      <w:lvlJc w:val="right"/>
      <w:pPr>
        <w:ind w:left="4244" w:hanging="180"/>
      </w:pPr>
    </w:lvl>
    <w:lvl w:ilvl="6" w:tplc="380A000F" w:tentative="1">
      <w:start w:val="1"/>
      <w:numFmt w:val="decimal"/>
      <w:lvlText w:val="%7."/>
      <w:lvlJc w:val="left"/>
      <w:pPr>
        <w:ind w:left="4964" w:hanging="360"/>
      </w:pPr>
    </w:lvl>
    <w:lvl w:ilvl="7" w:tplc="380A0019" w:tentative="1">
      <w:start w:val="1"/>
      <w:numFmt w:val="lowerLetter"/>
      <w:lvlText w:val="%8."/>
      <w:lvlJc w:val="left"/>
      <w:pPr>
        <w:ind w:left="5684" w:hanging="360"/>
      </w:pPr>
    </w:lvl>
    <w:lvl w:ilvl="8" w:tplc="380A001B" w:tentative="1">
      <w:start w:val="1"/>
      <w:numFmt w:val="lowerRoman"/>
      <w:lvlText w:val="%9."/>
      <w:lvlJc w:val="right"/>
      <w:pPr>
        <w:ind w:left="6404" w:hanging="180"/>
      </w:pPr>
    </w:lvl>
  </w:abstractNum>
  <w:num w:numId="1" w16cid:durableId="22001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17"/>
    <w:rsid w:val="0003495C"/>
    <w:rsid w:val="000D2C17"/>
    <w:rsid w:val="000F3EFB"/>
    <w:rsid w:val="001F3D84"/>
    <w:rsid w:val="002465B4"/>
    <w:rsid w:val="00260355"/>
    <w:rsid w:val="00346AD6"/>
    <w:rsid w:val="00523B9C"/>
    <w:rsid w:val="00552303"/>
    <w:rsid w:val="00627955"/>
    <w:rsid w:val="00686508"/>
    <w:rsid w:val="00787428"/>
    <w:rsid w:val="00821001"/>
    <w:rsid w:val="00824D04"/>
    <w:rsid w:val="00850DFC"/>
    <w:rsid w:val="00A6612B"/>
    <w:rsid w:val="00B5579C"/>
    <w:rsid w:val="00B94A0A"/>
    <w:rsid w:val="00C4434B"/>
    <w:rsid w:val="00C90FC2"/>
    <w:rsid w:val="00D825D0"/>
    <w:rsid w:val="00D930A1"/>
    <w:rsid w:val="00E17FB8"/>
    <w:rsid w:val="00E56EF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8C6"/>
  <w15:chartTrackingRefBased/>
  <w15:docId w15:val="{6F670895-E3F9-4667-8210-3F3C8413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2C17"/>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0D2C17"/>
    <w:rPr>
      <w:color w:val="0000FF"/>
      <w:u w:val="single"/>
    </w:rPr>
  </w:style>
  <w:style w:type="paragraph" w:styleId="Subttulo">
    <w:name w:val="Subtitle"/>
    <w:basedOn w:val="Normal"/>
    <w:next w:val="Normal"/>
    <w:link w:val="SubttuloCar"/>
    <w:uiPriority w:val="11"/>
    <w:qFormat/>
    <w:rsid w:val="000D2C17"/>
    <w:pPr>
      <w:numPr>
        <w:numId w:val="1"/>
      </w:numPr>
      <w:spacing w:after="0" w:line="360" w:lineRule="auto"/>
    </w:pPr>
    <w:rPr>
      <w:rFonts w:ascii="Times New Roman" w:hAnsi="Times New Roman" w:cs="Times New Roman"/>
      <w:i/>
      <w:iCs/>
      <w:sz w:val="24"/>
      <w:szCs w:val="24"/>
    </w:rPr>
  </w:style>
  <w:style w:type="character" w:customStyle="1" w:styleId="SubttuloCar">
    <w:name w:val="Subtítulo Car"/>
    <w:basedOn w:val="Fuentedeprrafopredeter"/>
    <w:link w:val="Subttulo"/>
    <w:uiPriority w:val="11"/>
    <w:rsid w:val="000D2C17"/>
    <w:rPr>
      <w:rFonts w:ascii="Times New Roman" w:hAnsi="Times New Roman" w:cs="Times New Roman"/>
      <w:i/>
      <w:iCs/>
      <w:sz w:val="24"/>
      <w:szCs w:val="24"/>
    </w:rPr>
  </w:style>
  <w:style w:type="character" w:styleId="nfasis">
    <w:name w:val="Emphasis"/>
    <w:uiPriority w:val="20"/>
    <w:qFormat/>
    <w:rsid w:val="000D2C17"/>
    <w:rPr>
      <w:b/>
      <w:bCs/>
    </w:rPr>
  </w:style>
  <w:style w:type="table" w:styleId="Tablanormal1">
    <w:name w:val="Plain Table 1"/>
    <w:basedOn w:val="Tablanormal"/>
    <w:uiPriority w:val="41"/>
    <w:rsid w:val="00D930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E56EF2"/>
    <w:rPr>
      <w:color w:val="605E5C"/>
      <w:shd w:val="clear" w:color="auto" w:fill="E1DFDD"/>
    </w:rPr>
  </w:style>
  <w:style w:type="paragraph" w:styleId="Bibliografa">
    <w:name w:val="Bibliography"/>
    <w:basedOn w:val="Normal"/>
    <w:next w:val="Normal"/>
    <w:uiPriority w:val="37"/>
    <w:unhideWhenUsed/>
    <w:rsid w:val="00E56EF2"/>
    <w:pPr>
      <w:spacing w:after="0" w:line="480" w:lineRule="auto"/>
      <w:ind w:left="720" w:hanging="720"/>
    </w:pPr>
  </w:style>
  <w:style w:type="table" w:styleId="Tablanormal3">
    <w:name w:val="Plain Table 3"/>
    <w:basedOn w:val="Tablanormal"/>
    <w:uiPriority w:val="43"/>
    <w:rsid w:val="00D825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39218">
      <w:bodyDiv w:val="1"/>
      <w:marLeft w:val="0"/>
      <w:marRight w:val="0"/>
      <w:marTop w:val="0"/>
      <w:marBottom w:val="0"/>
      <w:divBdr>
        <w:top w:val="none" w:sz="0" w:space="0" w:color="auto"/>
        <w:left w:val="none" w:sz="0" w:space="0" w:color="auto"/>
        <w:bottom w:val="none" w:sz="0" w:space="0" w:color="auto"/>
        <w:right w:val="none" w:sz="0" w:space="0" w:color="auto"/>
      </w:divBdr>
      <w:divsChild>
        <w:div w:id="269748994">
          <w:marLeft w:val="997"/>
          <w:marRight w:val="0"/>
          <w:marTop w:val="0"/>
          <w:marBottom w:val="0"/>
          <w:divBdr>
            <w:top w:val="none" w:sz="0" w:space="0" w:color="auto"/>
            <w:left w:val="none" w:sz="0" w:space="0" w:color="auto"/>
            <w:bottom w:val="none" w:sz="0" w:space="0" w:color="auto"/>
            <w:right w:val="none" w:sz="0" w:space="0" w:color="auto"/>
          </w:divBdr>
        </w:div>
      </w:divsChild>
    </w:div>
    <w:div w:id="1880430545">
      <w:bodyDiv w:val="1"/>
      <w:marLeft w:val="0"/>
      <w:marRight w:val="0"/>
      <w:marTop w:val="0"/>
      <w:marBottom w:val="0"/>
      <w:divBdr>
        <w:top w:val="none" w:sz="0" w:space="0" w:color="auto"/>
        <w:left w:val="none" w:sz="0" w:space="0" w:color="auto"/>
        <w:bottom w:val="none" w:sz="0" w:space="0" w:color="auto"/>
        <w:right w:val="none" w:sz="0" w:space="0" w:color="auto"/>
      </w:divBdr>
      <w:divsChild>
        <w:div w:id="1704473043">
          <w:marLeft w:val="99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15</Pages>
  <Words>9667</Words>
  <Characters>53172</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Roel</dc:creator>
  <cp:keywords/>
  <dc:description/>
  <cp:lastModifiedBy>Nahuel Roel</cp:lastModifiedBy>
  <cp:revision>13</cp:revision>
  <dcterms:created xsi:type="dcterms:W3CDTF">2022-11-29T16:16:00Z</dcterms:created>
  <dcterms:modified xsi:type="dcterms:W3CDTF">2022-11-30T17:33:00Z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id="SQ1tIASR"/&gt;&lt;style id="http://www.zotero.org/styles/apa" locale="es-ES" hasBibliography="1" bibliographyStyleHasBeenSet="1"/&gt;&lt;prefs&gt;&lt;pref name="fieldType" value="Field"/&gt;&lt;/prefs&gt;&lt;/data&gt;</vt:lpwstr>
  </property>
</Properties>
</file>