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6"/>
          <w:szCs w:val="46"/>
        </w:rPr>
        <w:t xml:space="preserve">Wabii</w:t>
      </w:r>
    </w:p>
    <w:p>
      <w:pPr>
        <w:spacing w:after="240"/>
      </w:pPr>
      <w:r>
        <w:rPr>
          <w:color w:val="6B7280"/>
          <w:sz w:val="20"/>
          <w:szCs w:val="20"/>
        </w:rPr>
        <w:t xml:space="preserve">Product overview for stakeholders · July 2026</w:t>
      </w:r>
    </w:p>
    <w:p>
      <w:pPr>
        <w:pBdr>
          <w:bottom w:val="single" w:color="D1D5DB" w:sz="6" w:space="1"/>
        </w:pBdr>
        <w:spacing w:after="200" w:before="60"/>
      </w:pPr>
      <w:r>
        <w:t xml:space="preserve"/>
      </w:r>
    </w:p>
    <w:p>
      <w:pPr>
        <w:pStyle w:val="Heading1"/>
        <w:spacing w:after="160" w:before="200"/>
      </w:pPr>
      <w:r>
        <w:rPr>
          <w:b/>
          <w:bCs/>
          <w:color w:val="1F2937"/>
          <w:sz w:val="30"/>
          <w:szCs w:val="30"/>
        </w:rPr>
        <w:t xml:space="preserve">What Wabii is</w:t>
      </w:r>
    </w:p>
    <w:p>
      <w:pPr>
        <w:spacing w:after="160" w:line="280"/>
      </w:pPr>
      <w:r>
        <w:rPr>
          <w:color w:val="1F2937"/>
          <w:sz w:val="21"/>
          <w:szCs w:val="21"/>
        </w:rPr>
        <w:t xml:space="preserve">Wabii is a mobile journaling app (iOS, Android, and web) that pairs private reflective writing with AI-guided conversation and, uniquely, a direct connection to a real therapist. Where most journaling apps stop at “write it down” or “summarize it for you,” Wabii is built around a full loop: capture an entry, talk it through with AI in the moment, see the pattern over time, and optionally bring a licensed therapist into that same context.</w:t>
      </w:r>
    </w:p>
    <w:p>
      <w:pPr>
        <w:pStyle w:val="Heading1"/>
        <w:spacing w:after="160" w:before="200"/>
      </w:pPr>
      <w:r>
        <w:rPr>
          <w:b/>
          <w:bCs/>
          <w:color w:val="1F2937"/>
          <w:sz w:val="30"/>
          <w:szCs w:val="30"/>
        </w:rPr>
        <w:t xml:space="preserve">Features and why each one matters</w:t>
      </w:r>
    </w:p>
    <w:p>
      <w:pPr>
        <w:spacing w:after="160" w:line="280"/>
      </w:pPr>
      <w:r>
        <w:rPr>
          <w:color w:val="1F2937"/>
          <w:sz w:val="21"/>
          <w:szCs w:val="21"/>
        </w:rPr>
        <w:t xml:space="preserve">The table below covers every feature currently in the product, what it does for the user, and how it compares to what's already on the market (Day One, Rosebud, Stoic, Reflectly, and similar AI journaling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shd w:fill="2C5F6F" w:val="clear"/>
            <w:tcMar>
              <w:top w:type="dxa" w:w="100"/>
              <w:left w:type="dxa" w:w="120"/>
              <w:bottom w:type="dxa" w:w="100"/>
              <w:right w:type="dxa" w:w="120"/>
            </w:tcMar>
          </w:tcPr>
          <w:p>
            <w:pPr>
              <w:spacing w:line="260"/>
            </w:pPr>
            <w:r>
              <w:rPr>
                <w:b/>
                <w:bCs/>
                <w:color w:val="FFFFFF"/>
                <w:sz w:val="19"/>
                <w:szCs w:val="19"/>
              </w:rPr>
              <w:t xml:space="preserve">Feature</w:t>
            </w:r>
          </w:p>
        </w:tc>
        <w:tc>
          <w:tcPr>
            <w:tcW w:type="dxa" w:w="4200"/>
            <w:shd w:fill="2C5F6F" w:val="clear"/>
            <w:tcMar>
              <w:top w:type="dxa" w:w="100"/>
              <w:left w:type="dxa" w:w="120"/>
              <w:bottom w:type="dxa" w:w="100"/>
              <w:right w:type="dxa" w:w="120"/>
            </w:tcMar>
          </w:tcPr>
          <w:p>
            <w:pPr>
              <w:spacing w:line="260"/>
            </w:pPr>
            <w:r>
              <w:rPr>
                <w:b/>
                <w:bCs/>
                <w:color w:val="FFFFFF"/>
                <w:sz w:val="19"/>
                <w:szCs w:val="19"/>
              </w:rPr>
              <w:t xml:space="preserve">What it does</w:t>
            </w:r>
          </w:p>
        </w:tc>
        <w:tc>
          <w:tcPr>
            <w:tcW w:type="dxa" w:w="3480"/>
            <w:shd w:fill="2C5F6F" w:val="clear"/>
            <w:tcMar>
              <w:top w:type="dxa" w:w="100"/>
              <w:left w:type="dxa" w:w="120"/>
              <w:bottom w:type="dxa" w:w="100"/>
              <w:right w:type="dxa" w:w="120"/>
            </w:tcMar>
          </w:tcPr>
          <w:p>
            <w:pPr>
              <w:spacing w:line="260"/>
            </w:pPr>
            <w:r>
              <w:rPr>
                <w:b/>
                <w:bCs/>
                <w:color w:val="FFFFFF"/>
                <w:sz w:val="19"/>
                <w:szCs w:val="19"/>
              </w:rPr>
              <w:t xml:space="preserve">Why it stands out</w:t>
            </w:r>
          </w:p>
        </w:tc>
      </w:tr>
      <w:tr>
        <w:tc>
          <w:tcPr>
            <w:tcW w:type="dxa" w:w="2400"/>
            <w:tcMar>
              <w:top w:type="dxa" w:w="100"/>
              <w:left w:type="dxa" w:w="120"/>
              <w:bottom w:type="dxa" w:w="100"/>
              <w:right w:type="dxa" w:w="120"/>
            </w:tcMar>
          </w:tcPr>
          <w:p>
            <w:pPr>
              <w:spacing w:line="260"/>
            </w:pPr>
            <w:r>
              <w:rPr>
                <w:b w:val="false"/>
                <w:bCs w:val="false"/>
                <w:color w:val="1F2937"/>
                <w:sz w:val="19"/>
                <w:szCs w:val="19"/>
              </w:rPr>
              <w:t xml:space="preserve">Daily journaling with tags</w:t>
            </w:r>
          </w:p>
        </w:tc>
        <w:tc>
          <w:tcPr>
            <w:tcW w:type="dxa" w:w="4200"/>
            <w:tcMar>
              <w:top w:type="dxa" w:w="100"/>
              <w:left w:type="dxa" w:w="120"/>
              <w:bottom w:type="dxa" w:w="100"/>
              <w:right w:type="dxa" w:w="120"/>
            </w:tcMar>
          </w:tcPr>
          <w:p>
            <w:pPr>
              <w:spacing w:line="260"/>
            </w:pPr>
            <w:r>
              <w:rPr>
                <w:b w:val="false"/>
                <w:bCs w:val="false"/>
                <w:color w:val="1F2937"/>
                <w:sz w:val="19"/>
                <w:szCs w:val="19"/>
              </w:rPr>
              <w:t xml:space="preserve">Free-form entries, tagged by mood or topic for later reference.</w:t>
            </w:r>
          </w:p>
        </w:tc>
        <w:tc>
          <w:tcPr>
            <w:tcW w:type="dxa" w:w="3480"/>
            <w:tcMar>
              <w:top w:type="dxa" w:w="100"/>
              <w:left w:type="dxa" w:w="120"/>
              <w:bottom w:type="dxa" w:w="100"/>
              <w:right w:type="dxa" w:w="120"/>
            </w:tcMar>
          </w:tcPr>
          <w:p>
            <w:pPr>
              <w:spacing w:line="260"/>
            </w:pPr>
            <w:r>
              <w:rPr>
                <w:b w:val="false"/>
                <w:bCs w:val="false"/>
                <w:color w:val="1F2937"/>
                <w:sz w:val="19"/>
                <w:szCs w:val="19"/>
              </w:rPr>
              <w:t xml:space="preserve">Table stakes across the category — the foundation Wabii builds the rest on.</w:t>
            </w:r>
          </w:p>
        </w:tc>
      </w:tr>
      <w:tr>
        <w:tc>
          <w:tcPr>
            <w:tcW w:type="dxa" w:w="2400"/>
            <w:shd w:fill="EEF3F4" w:val="clear"/>
            <w:tcMar>
              <w:top w:type="dxa" w:w="100"/>
              <w:left w:type="dxa" w:w="120"/>
              <w:bottom w:type="dxa" w:w="100"/>
              <w:right w:type="dxa" w:w="120"/>
            </w:tcMar>
          </w:tcPr>
          <w:p>
            <w:pPr>
              <w:spacing w:line="260"/>
            </w:pPr>
            <w:r>
              <w:rPr>
                <w:b w:val="false"/>
                <w:bCs w:val="false"/>
                <w:color w:val="1F2937"/>
                <w:sz w:val="19"/>
                <w:szCs w:val="19"/>
              </w:rPr>
              <w:t xml:space="preserve">AI chat on each entry</w:t>
            </w:r>
          </w:p>
        </w:tc>
        <w:tc>
          <w:tcPr>
            <w:tcW w:type="dxa" w:w="4200"/>
            <w:shd w:fill="EEF3F4" w:val="clear"/>
            <w:tcMar>
              <w:top w:type="dxa" w:w="100"/>
              <w:left w:type="dxa" w:w="120"/>
              <w:bottom w:type="dxa" w:w="100"/>
              <w:right w:type="dxa" w:w="120"/>
            </w:tcMar>
          </w:tcPr>
          <w:p>
            <w:pPr>
              <w:spacing w:line="260"/>
            </w:pPr>
            <w:r>
              <w:rPr>
                <w:b w:val="false"/>
                <w:bCs w:val="false"/>
                <w:color w:val="1F2937"/>
                <w:sz w:val="19"/>
                <w:szCs w:val="19"/>
              </w:rPr>
              <w:t xml:space="preserve">Users can open a conversation with an AI about the specific entry they just wrote, referencing what they actually said.</w:t>
            </w:r>
          </w:p>
        </w:tc>
        <w:tc>
          <w:tcPr>
            <w:tcW w:type="dxa" w:w="3480"/>
            <w:shd w:fill="EEF3F4" w:val="clear"/>
            <w:tcMar>
              <w:top w:type="dxa" w:w="100"/>
              <w:left w:type="dxa" w:w="120"/>
              <w:bottom w:type="dxa" w:w="100"/>
              <w:right w:type="dxa" w:w="120"/>
            </w:tcMar>
          </w:tcPr>
          <w:p>
            <w:pPr>
              <w:spacing w:line="260"/>
            </w:pPr>
            <w:r>
              <w:rPr>
                <w:b w:val="false"/>
                <w:bCs w:val="false"/>
                <w:color w:val="1F2937"/>
                <w:sz w:val="19"/>
                <w:szCs w:val="19"/>
              </w:rPr>
              <w:t xml:space="preserve">Most competitors (Reflectly, Day One) only let you write. Rosebud summarizes after the fact. Wabii is one of the few that lets you dialogue with your own entry in the moment.</w:t>
            </w:r>
          </w:p>
        </w:tc>
      </w:tr>
      <w:tr>
        <w:tc>
          <w:tcPr>
            <w:tcW w:type="dxa" w:w="2400"/>
            <w:tcMar>
              <w:top w:type="dxa" w:w="100"/>
              <w:left w:type="dxa" w:w="120"/>
              <w:bottom w:type="dxa" w:w="100"/>
              <w:right w:type="dxa" w:w="120"/>
            </w:tcMar>
          </w:tcPr>
          <w:p>
            <w:pPr>
              <w:spacing w:line="260"/>
            </w:pPr>
            <w:r>
              <w:rPr>
                <w:b w:val="false"/>
                <w:bCs w:val="false"/>
                <w:color w:val="1F2937"/>
                <w:sz w:val="19"/>
                <w:szCs w:val="19"/>
              </w:rPr>
              <w:t xml:space="preserve">Weekly AI digests with feedback</w:t>
            </w:r>
          </w:p>
        </w:tc>
        <w:tc>
          <w:tcPr>
            <w:tcW w:type="dxa" w:w="4200"/>
            <w:tcMar>
              <w:top w:type="dxa" w:w="100"/>
              <w:left w:type="dxa" w:w="120"/>
              <w:bottom w:type="dxa" w:w="100"/>
              <w:right w:type="dxa" w:w="120"/>
            </w:tcMar>
          </w:tcPr>
          <w:p>
            <w:pPr>
              <w:spacing w:line="260"/>
            </w:pPr>
            <w:r>
              <w:rPr>
                <w:b w:val="false"/>
                <w:bCs w:val="false"/>
                <w:color w:val="1F2937"/>
                <w:sz w:val="19"/>
                <w:szCs w:val="19"/>
              </w:rPr>
              <w:t xml:space="preserve">An AI-written recap of the week's entries, with a thumbs up/down the user can leave on each digest.</w:t>
            </w:r>
          </w:p>
        </w:tc>
        <w:tc>
          <w:tcPr>
            <w:tcW w:type="dxa" w:w="3480"/>
            <w:tcMar>
              <w:top w:type="dxa" w:w="100"/>
              <w:left w:type="dxa" w:w="120"/>
              <w:bottom w:type="dxa" w:w="100"/>
              <w:right w:type="dxa" w:w="120"/>
            </w:tcMar>
          </w:tcPr>
          <w:p>
            <w:pPr>
              <w:spacing w:line="260"/>
            </w:pPr>
            <w:r>
              <w:rPr>
                <w:b w:val="false"/>
                <w:bCs w:val="false"/>
                <w:color w:val="1F2937"/>
                <w:sz w:val="19"/>
                <w:szCs w:val="19"/>
              </w:rPr>
              <w:t xml:space="preserve">Rosebud and similar apps generate weekly summaries, but few close the loop by capturing user feedback to improve future digests.</w:t>
            </w:r>
          </w:p>
        </w:tc>
      </w:tr>
      <w:tr>
        <w:tc>
          <w:tcPr>
            <w:tcW w:type="dxa" w:w="2400"/>
            <w:shd w:fill="EEF3F4" w:val="clear"/>
            <w:tcMar>
              <w:top w:type="dxa" w:w="100"/>
              <w:left w:type="dxa" w:w="120"/>
              <w:bottom w:type="dxa" w:w="100"/>
              <w:right w:type="dxa" w:w="120"/>
            </w:tcMar>
          </w:tcPr>
          <w:p>
            <w:pPr>
              <w:spacing w:line="260"/>
            </w:pPr>
            <w:r>
              <w:rPr>
                <w:b w:val="false"/>
                <w:bCs w:val="false"/>
                <w:color w:val="1F2937"/>
                <w:sz w:val="19"/>
                <w:szCs w:val="19"/>
              </w:rPr>
              <w:t xml:space="preserve">Guided prompt themes</w:t>
            </w:r>
          </w:p>
        </w:tc>
        <w:tc>
          <w:tcPr>
            <w:tcW w:type="dxa" w:w="4200"/>
            <w:shd w:fill="EEF3F4" w:val="clear"/>
            <w:tcMar>
              <w:top w:type="dxa" w:w="100"/>
              <w:left w:type="dxa" w:w="120"/>
              <w:bottom w:type="dxa" w:w="100"/>
              <w:right w:type="dxa" w:w="120"/>
            </w:tcMar>
          </w:tcPr>
          <w:p>
            <w:pPr>
              <w:spacing w:line="260"/>
            </w:pPr>
            <w:r>
              <w:rPr>
                <w:b w:val="false"/>
                <w:bCs w:val="false"/>
                <w:color w:val="1F2937"/>
                <w:sz w:val="19"/>
                <w:szCs w:val="19"/>
              </w:rPr>
              <w:t xml:space="preserve">Curated prompt sets (e.g. a themed set of night-time questions) that guide what to write about.</w:t>
            </w:r>
          </w:p>
        </w:tc>
        <w:tc>
          <w:tcPr>
            <w:tcW w:type="dxa" w:w="3480"/>
            <w:shd w:fill="EEF3F4" w:val="clear"/>
            <w:tcMar>
              <w:top w:type="dxa" w:w="100"/>
              <w:left w:type="dxa" w:w="120"/>
              <w:bottom w:type="dxa" w:w="100"/>
              <w:right w:type="dxa" w:w="120"/>
            </w:tcMar>
          </w:tcPr>
          <w:p>
            <w:pPr>
              <w:spacing w:line="260"/>
            </w:pPr>
            <w:r>
              <w:rPr>
                <w:b w:val="false"/>
                <w:bCs w:val="false"/>
                <w:color w:val="1F2937"/>
                <w:sz w:val="19"/>
                <w:szCs w:val="19"/>
              </w:rPr>
              <w:t xml:space="preserve">Comparable to Stoic's structured daily rhythm, but themes are flexible and swappable rather than one fixed format.</w:t>
            </w:r>
          </w:p>
        </w:tc>
      </w:tr>
      <w:tr>
        <w:tc>
          <w:tcPr>
            <w:tcW w:type="dxa" w:w="2400"/>
            <w:tcMar>
              <w:top w:type="dxa" w:w="100"/>
              <w:left w:type="dxa" w:w="120"/>
              <w:bottom w:type="dxa" w:w="100"/>
              <w:right w:type="dxa" w:w="120"/>
            </w:tcMar>
          </w:tcPr>
          <w:p>
            <w:pPr>
              <w:spacing w:line="260"/>
            </w:pPr>
            <w:r>
              <w:rPr>
                <w:b w:val="false"/>
                <w:bCs w:val="false"/>
                <w:color w:val="1F2937"/>
                <w:sz w:val="19"/>
                <w:szCs w:val="19"/>
              </w:rPr>
              <w:t xml:space="preserve">Smart reminders</w:t>
            </w:r>
          </w:p>
        </w:tc>
        <w:tc>
          <w:tcPr>
            <w:tcW w:type="dxa" w:w="4200"/>
            <w:tcMar>
              <w:top w:type="dxa" w:w="100"/>
              <w:left w:type="dxa" w:w="120"/>
              <w:bottom w:type="dxa" w:w="100"/>
              <w:right w:type="dxa" w:w="120"/>
            </w:tcMar>
          </w:tcPr>
          <w:p>
            <w:pPr>
              <w:spacing w:line="260"/>
            </w:pPr>
            <w:r>
              <w:rPr>
                <w:b w:val="false"/>
                <w:bCs w:val="false"/>
                <w:color w:val="1F2937"/>
                <w:sz w:val="19"/>
                <w:szCs w:val="19"/>
              </w:rPr>
              <w:t xml:space="preserve">Push notifications tied to a specific prompt theme, nudging the user to journal at the right moment.</w:t>
            </w:r>
          </w:p>
        </w:tc>
        <w:tc>
          <w:tcPr>
            <w:tcW w:type="dxa" w:w="3480"/>
            <w:tcMar>
              <w:top w:type="dxa" w:w="100"/>
              <w:left w:type="dxa" w:w="120"/>
              <w:bottom w:type="dxa" w:w="100"/>
              <w:right w:type="dxa" w:w="120"/>
            </w:tcMar>
          </w:tcPr>
          <w:p>
            <w:pPr>
              <w:spacing w:line="260"/>
            </w:pPr>
            <w:r>
              <w:rPr>
                <w:b w:val="false"/>
                <w:bCs w:val="false"/>
                <w:color w:val="1F2937"/>
                <w:sz w:val="19"/>
                <w:szCs w:val="19"/>
              </w:rPr>
              <w:t xml:space="preserve">Ties the nudge to content, not just a generic daily reminder — the reminder itself sets up what to write about.</w:t>
            </w:r>
          </w:p>
        </w:tc>
      </w:tr>
      <w:tr>
        <w:tc>
          <w:tcPr>
            <w:tcW w:type="dxa" w:w="2400"/>
            <w:shd w:fill="EEF3F4" w:val="clear"/>
            <w:tcMar>
              <w:top w:type="dxa" w:w="100"/>
              <w:left w:type="dxa" w:w="120"/>
              <w:bottom w:type="dxa" w:w="100"/>
              <w:right w:type="dxa" w:w="120"/>
            </w:tcMar>
          </w:tcPr>
          <w:p>
            <w:pPr>
              <w:spacing w:line="260"/>
            </w:pPr>
            <w:r>
              <w:rPr>
                <w:b w:val="false"/>
                <w:bCs w:val="false"/>
                <w:color w:val="1F2937"/>
                <w:sz w:val="19"/>
                <w:szCs w:val="19"/>
              </w:rPr>
              <w:t xml:space="preserve">Theme insights</w:t>
            </w:r>
          </w:p>
        </w:tc>
        <w:tc>
          <w:tcPr>
            <w:tcW w:type="dxa" w:w="4200"/>
            <w:shd w:fill="EEF3F4" w:val="clear"/>
            <w:tcMar>
              <w:top w:type="dxa" w:w="100"/>
              <w:left w:type="dxa" w:w="120"/>
              <w:bottom w:type="dxa" w:w="100"/>
              <w:right w:type="dxa" w:w="120"/>
            </w:tcMar>
          </w:tcPr>
          <w:p>
            <w:pPr>
              <w:spacing w:line="260"/>
            </w:pPr>
            <w:r>
              <w:rPr>
                <w:b w:val="false"/>
                <w:bCs w:val="false"/>
                <w:color w:val="1F2937"/>
                <w:sz w:val="19"/>
                <w:szCs w:val="19"/>
              </w:rPr>
              <w:t xml:space="preserve">AI-generated pattern summaries that roll up everything written under a given theme over time.</w:t>
            </w:r>
          </w:p>
        </w:tc>
        <w:tc>
          <w:tcPr>
            <w:tcW w:type="dxa" w:w="3480"/>
            <w:shd w:fill="EEF3F4" w:val="clear"/>
            <w:tcMar>
              <w:top w:type="dxa" w:w="100"/>
              <w:left w:type="dxa" w:w="120"/>
              <w:bottom w:type="dxa" w:w="100"/>
              <w:right w:type="dxa" w:w="120"/>
            </w:tcMar>
          </w:tcPr>
          <w:p>
            <w:pPr>
              <w:spacing w:line="260"/>
            </w:pPr>
            <w:r>
              <w:rPr>
                <w:b w:val="false"/>
                <w:bCs w:val="false"/>
                <w:color w:val="1F2937"/>
                <w:sz w:val="19"/>
                <w:szCs w:val="19"/>
              </w:rPr>
              <w:t xml:space="preserve">Goes beyond a single weekly digest to surface longer-arc patterns most competitors don't (Reflectly's AI insight depth is shallow by comparison).</w:t>
            </w:r>
          </w:p>
        </w:tc>
      </w:tr>
      <w:tr>
        <w:tc>
          <w:tcPr>
            <w:tcW w:type="dxa" w:w="2400"/>
            <w:tcMar>
              <w:top w:type="dxa" w:w="100"/>
              <w:left w:type="dxa" w:w="120"/>
              <w:bottom w:type="dxa" w:w="100"/>
              <w:right w:type="dxa" w:w="120"/>
            </w:tcMar>
          </w:tcPr>
          <w:p>
            <w:pPr>
              <w:spacing w:line="260"/>
            </w:pPr>
            <w:r>
              <w:rPr>
                <w:b w:val="false"/>
                <w:bCs w:val="false"/>
                <w:color w:val="1F2937"/>
                <w:sz w:val="19"/>
                <w:szCs w:val="19"/>
              </w:rPr>
              <w:t xml:space="preserve">Semantic search</w:t>
            </w:r>
          </w:p>
        </w:tc>
        <w:tc>
          <w:tcPr>
            <w:tcW w:type="dxa" w:w="4200"/>
            <w:tcMar>
              <w:top w:type="dxa" w:w="100"/>
              <w:left w:type="dxa" w:w="120"/>
              <w:bottom w:type="dxa" w:w="100"/>
              <w:right w:type="dxa" w:w="120"/>
            </w:tcMar>
          </w:tcPr>
          <w:p>
            <w:pPr>
              <w:spacing w:line="260"/>
            </w:pPr>
            <w:r>
              <w:rPr>
                <w:b w:val="false"/>
                <w:bCs w:val="false"/>
                <w:color w:val="1F2937"/>
                <w:sz w:val="19"/>
                <w:szCs w:val="19"/>
              </w:rPr>
              <w:t xml:space="preserve">Entries are embedded so users can search by meaning, not just keyword match.</w:t>
            </w:r>
          </w:p>
        </w:tc>
        <w:tc>
          <w:tcPr>
            <w:tcW w:type="dxa" w:w="3480"/>
            <w:tcMar>
              <w:top w:type="dxa" w:w="100"/>
              <w:left w:type="dxa" w:w="120"/>
              <w:bottom w:type="dxa" w:w="100"/>
              <w:right w:type="dxa" w:w="120"/>
            </w:tcMar>
          </w:tcPr>
          <w:p>
            <w:pPr>
              <w:spacing w:line="260"/>
            </w:pPr>
            <w:r>
              <w:rPr>
                <w:b w:val="false"/>
                <w:bCs w:val="false"/>
                <w:color w:val="1F2937"/>
                <w:sz w:val="19"/>
                <w:szCs w:val="19"/>
              </w:rPr>
              <w:t xml:space="preserve">Lets someone find “that time I felt anxious about work” even if those exact words were never written — a level of recall few journaling apps offer.</w:t>
            </w:r>
          </w:p>
        </w:tc>
      </w:tr>
      <w:tr>
        <w:tc>
          <w:tcPr>
            <w:tcW w:type="dxa" w:w="2400"/>
            <w:shd w:fill="EEF3F4" w:val="clear"/>
            <w:tcMar>
              <w:top w:type="dxa" w:w="100"/>
              <w:left w:type="dxa" w:w="120"/>
              <w:bottom w:type="dxa" w:w="100"/>
              <w:right w:type="dxa" w:w="120"/>
            </w:tcMar>
          </w:tcPr>
          <w:p>
            <w:pPr>
              <w:spacing w:line="260"/>
            </w:pPr>
            <w:r>
              <w:rPr>
                <w:b w:val="false"/>
                <w:bCs w:val="false"/>
                <w:color w:val="1F2937"/>
                <w:sz w:val="19"/>
                <w:szCs w:val="19"/>
              </w:rPr>
              <w:t xml:space="preserve">Therapist portal</w:t>
            </w:r>
          </w:p>
        </w:tc>
        <w:tc>
          <w:tcPr>
            <w:tcW w:type="dxa" w:w="4200"/>
            <w:shd w:fill="EEF3F4" w:val="clear"/>
            <w:tcMar>
              <w:top w:type="dxa" w:w="100"/>
              <w:left w:type="dxa" w:w="120"/>
              <w:bottom w:type="dxa" w:w="100"/>
              <w:right w:type="dxa" w:w="120"/>
            </w:tcMar>
          </w:tcPr>
          <w:p>
            <w:pPr>
              <w:spacing w:line="260"/>
            </w:pPr>
            <w:r>
              <w:rPr>
                <w:b w:val="false"/>
                <w:bCs w:val="false"/>
                <w:color w:val="1F2937"/>
                <w:sz w:val="19"/>
                <w:szCs w:val="19"/>
              </w:rPr>
              <w:t xml:space="preserve">A dedicated portal plus an in-app invite flow so a user can share their journal with a licensed therapist.</w:t>
            </w:r>
          </w:p>
        </w:tc>
        <w:tc>
          <w:tcPr>
            <w:tcW w:type="dxa" w:w="3480"/>
            <w:shd w:fill="EEF3F4" w:val="clear"/>
            <w:tcMar>
              <w:top w:type="dxa" w:w="100"/>
              <w:left w:type="dxa" w:w="120"/>
              <w:bottom w:type="dxa" w:w="100"/>
              <w:right w:type="dxa" w:w="120"/>
            </w:tcMar>
          </w:tcPr>
          <w:p>
            <w:pPr>
              <w:spacing w:line="260"/>
            </w:pPr>
            <w:r>
              <w:rPr>
                <w:b w:val="false"/>
                <w:bCs w:val="false"/>
                <w:color w:val="1F2937"/>
                <w:sz w:val="19"/>
                <w:szCs w:val="19"/>
              </w:rPr>
              <w:t xml:space="preserve">The clearest differentiator: none of Day One, Rosebud, Stoic, or Reflectly bridge self-reflection with a real clinician relationship. Wabii connects the two.</w:t>
            </w:r>
          </w:p>
        </w:tc>
      </w:tr>
    </w:tbl>
    <w:p>
      <w:pPr>
        <w:pStyle w:val="Heading1"/>
        <w:spacing w:after="160" w:before="200"/>
      </w:pPr>
      <w:r>
        <w:rPr>
          <w:b/>
          <w:bCs/>
          <w:color w:val="1F2937"/>
          <w:sz w:val="30"/>
          <w:szCs w:val="30"/>
        </w:rPr>
        <w:t xml:space="preserve">How Wabii is different</w:t>
      </w:r>
    </w:p>
    <w:p>
      <w:pPr>
        <w:spacing w:after="160" w:line="280"/>
      </w:pPr>
      <w:r>
        <w:rPr>
          <w:color w:val="1F2937"/>
          <w:sz w:val="21"/>
          <w:szCs w:val="21"/>
        </w:rPr>
        <w:t xml:space="preserve">The AI journaling category has converged on a familiar pattern: write an entry, get an AI-generated summary or insight back. Wabii matches that baseline and goes further in two ways that competitors don't combine:</w:t>
      </w:r>
    </w:p>
    <w:p>
      <w:pPr>
        <w:pStyle w:val="ListParagraph"/>
        <w:numPr>
          <w:ilvl w:val="0"/>
          <w:numId w:val="2"/>
        </w:numPr>
        <w:spacing w:after="90" w:line="270"/>
      </w:pPr>
      <w:r>
        <w:rPr>
          <w:color w:val="1F2937"/>
          <w:sz w:val="21"/>
          <w:szCs w:val="21"/>
        </w:rPr>
        <w:t xml:space="preserve">In-context AI conversation — rather than a one-way summary after the fact, users can chat with AI about the specific entry they just wrote, turning journaling into a dialogue instead of a monologue.</w:t>
      </w:r>
    </w:p>
    <w:p>
      <w:pPr>
        <w:pStyle w:val="ListParagraph"/>
        <w:numPr>
          <w:ilvl w:val="0"/>
          <w:numId w:val="2"/>
        </w:numPr>
        <w:spacing w:after="90" w:line="270"/>
      </w:pPr>
      <w:r>
        <w:rPr>
          <w:color w:val="1F2937"/>
          <w:sz w:val="21"/>
          <w:szCs w:val="21"/>
        </w:rPr>
        <w:t xml:space="preserve">A bridge to real care — the therapist portal and invite flow mean Wabii isn't just a private diary or a wellness app; it's a tool that can plug directly into a user's actual therapeutic relationship. This is the one capability none of the major competitors (Day One, Rosebud, Stoic, Reflectly) currently offer.</w:t>
      </w:r>
    </w:p>
    <w:p>
      <w:pPr>
        <w:spacing w:after="160" w:line="280"/>
      </w:pPr>
      <w:r>
        <w:rPr>
          <w:color w:val="1F2937"/>
          <w:sz w:val="21"/>
          <w:szCs w:val="21"/>
        </w:rPr>
        <w:t xml:space="preserve">Together, these position Wabii less as “yet another AI journal” and more as connective tissue between daily self-reflection and professional mental health support — a gap the rest of the category has left open.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2026-07-15T06:42:04.195Z</dcterms:created>
  <dcterms:modified xsi:type="dcterms:W3CDTF">2026-07-15T06:42:04.196Z</dcterms:modified>
</cp:coreProperties>
</file>

<file path=docProps/custom.xml><?xml version="1.0" encoding="utf-8"?>
<Properties xmlns="http://schemas.openxmlformats.org/officeDocument/2006/custom-properties" xmlns:vt="http://schemas.openxmlformats.org/officeDocument/2006/docPropsVTypes"/>
</file>