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color w:val="0B3F9E"/>
          <w:sz w:val="17"/>
          <w:szCs w:val="17"/>
        </w:rPr>
        <w:t xml:space="preserve">AQUADEALER · BILLING FEATURE</w:t>
      </w:r>
    </w:p>
    <w:p>
      <w:pPr>
        <w:pStyle w:val="Title"/>
        <w:spacing w:after="80"/>
      </w:pPr>
      <w:r>
        <w:rPr>
          <w:b/>
          <w:bCs/>
          <w:color w:val="10203A"/>
          <w:sz w:val="40"/>
          <w:szCs w:val="40"/>
        </w:rPr>
        <w:t xml:space="preserve">Billing / New Invoice — Functional Redline</w:t>
      </w:r>
    </w:p>
    <w:p>
      <w:pPr>
        <w:spacing w:after="100"/>
      </w:pPr>
      <w:r>
        <w:rPr>
          <w:i/>
          <w:iCs/>
          <w:color w:val="57667C"/>
          <w:sz w:val="22"/>
          <w:szCs w:val="22"/>
        </w:rPr>
        <w:t xml:space="preserve">Handoff reference for the redesign of /bills/new — every field, button and state, plus the exact cause of the small-laptop breakage.</w:t>
      </w:r>
    </w:p>
    <w:p>
      <w:pPr>
        <w:pBdr>
          <w:bottom w:val="single" w:color="D8E0E9" w:sz="6"/>
        </w:pBdr>
        <w:spacing w:after="320"/>
      </w:pPr>
      <w:r>
        <w:rPr>
          <w:rFonts w:ascii="Consolas" w:cs="Consolas" w:eastAsia="Consolas" w:hAnsi="Consolas"/>
          <w:color w:val="57667C"/>
          <w:sz w:val="16"/>
          <w:szCs w:val="16"/>
        </w:rPr>
        <w:t xml:space="preserve">Source: src/features/billing</w:t>
      </w:r>
    </w:p>
    <w:p>
      <w:pPr>
        <w:pStyle w:val="Heading1"/>
        <w:spacing w:after="160" w:before="480"/>
      </w:pPr>
      <w:r>
        <w:rPr>
          <w:b/>
          <w:bCs/>
          <w:color w:val="10203A"/>
          <w:sz w:val="30"/>
          <w:szCs w:val="30"/>
        </w:rPr>
        <w:t xml:space="preserve">00 · Overview — what this screen is for</w:t>
      </w:r>
    </w:p>
    <w:p>
      <w:pPr>
        <w:spacing w:after="160" w:line="320"/>
      </w:pPr>
      <w:r>
        <w:rPr>
          <w:color w:val="10203A"/>
          <w:sz w:val="21"/>
          <w:szCs w:val="21"/>
        </w:rPr>
        <w:t xml:space="preserve">A dealer-facing point-of-sale flow for billing farmers for feed and medicine, used on a shop desktop/laptop most of the day and on a phone in the field. It has to work at POS speed — most fields update a live total on every keystroke.</w:t>
      </w:r>
    </w:p>
    <w:p>
      <w:pPr>
        <w:spacing w:after="160" w:line="320"/>
      </w:pPr>
      <w:r>
        <w:rPr>
          <w:color w:val="10203A"/>
          <w:sz w:val="21"/>
          <w:szCs w:val="21"/>
        </w:rPr>
        <w:t xml:space="preserve">The flow lives at </w:t>
      </w:r>
      <w:r>
        <w:rPr>
          <w:rFonts w:ascii="Consolas" w:cs="Consolas" w:eastAsia="Consolas" w:hAnsi="Consolas"/>
          <w:color w:val="57667C"/>
          <w:sz w:val="18"/>
          <w:szCs w:val="18"/>
        </w:rPr>
        <w:t xml:space="preserve">NewBillPage.tsx</w:t>
      </w:r>
      <w:r>
        <w:rPr>
          <w:color w:val="10203A"/>
          <w:sz w:val="21"/>
          <w:szCs w:val="21"/>
        </w:rPr>
        <w:t xml:space="preserve"> and runs as a 3-step wizard: </w:t>
      </w:r>
      <w:r>
        <w:rPr>
          <w:b/>
          <w:bCs/>
          <w:color w:val="10203A"/>
          <w:sz w:val="21"/>
          <w:szCs w:val="21"/>
        </w:rPr>
        <w:t xml:space="preserve">Items → Payment → Review</w:t>
      </w:r>
      <w:r>
        <w:rPr>
          <w:color w:val="10203A"/>
          <w:sz w:val="21"/>
          <w:szCs w:val="21"/>
        </w:rPr>
        <w:t xml:space="preserve">. Above roughly 1024px width it collapses to </w:t>
      </w:r>
      <w:r>
        <w:rPr>
          <w:b/>
          <w:bCs/>
          <w:color w:val="10203A"/>
          <w:sz w:val="21"/>
          <w:szCs w:val="21"/>
        </w:rPr>
        <w:t xml:space="preserve">2 steps</w:t>
      </w:r>
      <w:r>
        <w:rPr>
          <w:color w:val="10203A"/>
          <w:sz w:val="21"/>
          <w:szCs w:val="21"/>
        </w:rPr>
        <w:t xml:space="preserve"> — Payment is folded directly into the bottom of the Items screen — so a desktop dealer never sees a separate Payment page at all. That single fact explains a lot of what’s cramped: the desktop “Items” screen is really “Items + Payment” doing double duty.</w:t>
      </w:r>
    </w:p>
    <w:tbl>
      <w:tblPr>
        <w:tblW w:type="dxa" w:w="9360"/>
        <w:tblBorders>
          <w:top w:val="single" w:color="D8E0E9" w:sz="2"/>
          <w:left w:val="none" w:color="D8E0E9" w:sz="0"/>
          <w:bottom w:val="single" w:color="D8E0E9" w:sz="2"/>
          <w:right w:val="none" w:color="D8E0E9" w:sz="0"/>
          <w:insideH w:val="single" w:color="D8E0E9" w:sz="2"/>
          <w:insideV w:val="none" w:color="D8E0E9" w:sz="0"/>
        </w:tblBorders>
      </w:tblPr>
      <w:tblGrid>
        <w:gridCol w:w="1600"/>
        <w:gridCol w:w="4200"/>
        <w:gridCol w:w="3560"/>
      </w:tblGrid>
      <w:tr>
        <w:trPr>
          <w:tblHeader/>
        </w:trPr>
        <w:tc>
          <w:tcPr>
            <w:tcW w:type="dxa" w:w="160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Step</w:t>
            </w:r>
          </w:p>
        </w:tc>
        <w:tc>
          <w:tcPr>
            <w:tcW w:type="dxa" w:w="420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Mobile / tablet (&lt;1024px)</w:t>
            </w:r>
          </w:p>
        </w:tc>
        <w:tc>
          <w:tcPr>
            <w:tcW w:type="dxa" w:w="356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Desktop (≥1024px)</w:t>
            </w:r>
          </w:p>
        </w:tc>
      </w:tr>
      <w:tr>
        <w:tc>
          <w:tcPr>
            <w:tcW w:type="dxa" w:w="1600"/>
            <w:tcMar>
              <w:top w:type="dxa" w:w="90"/>
              <w:left w:type="dxa" w:w="100"/>
              <w:bottom w:type="dxa" w:w="90"/>
              <w:right w:type="dxa" w:w="100"/>
            </w:tcMar>
          </w:tcPr>
          <w:p>
            <w:pPr>
              <w:spacing w:line="280"/>
            </w:pPr>
            <w:r>
              <w:rPr>
                <w:color w:val="10203A"/>
                <w:sz w:val="19"/>
                <w:szCs w:val="19"/>
              </w:rPr>
              <w:t xml:space="preserve">1 — Items</w:t>
            </w:r>
          </w:p>
        </w:tc>
        <w:tc>
          <w:tcPr>
            <w:tcW w:type="dxa" w:w="4200"/>
            <w:tcMar>
              <w:top w:type="dxa" w:w="90"/>
              <w:left w:type="dxa" w:w="100"/>
              <w:bottom w:type="dxa" w:w="90"/>
              <w:right w:type="dxa" w:w="100"/>
            </w:tcMar>
          </w:tcPr>
          <w:p>
            <w:pPr>
              <w:spacing w:line="280"/>
            </w:pPr>
            <w:r>
              <w:rPr>
                <w:color w:val="10203A"/>
                <w:sz w:val="19"/>
                <w:szCs w:val="19"/>
              </w:rPr>
              <w:t xml:space="preserve">Browse catalog, build cart</w:t>
            </w:r>
          </w:p>
        </w:tc>
        <w:tc>
          <w:tcPr>
            <w:tcW w:type="dxa" w:w="3560"/>
            <w:tcMar>
              <w:top w:type="dxa" w:w="90"/>
              <w:left w:type="dxa" w:w="100"/>
              <w:bottom w:type="dxa" w:w="90"/>
              <w:right w:type="dxa" w:w="100"/>
            </w:tcMar>
          </w:tcPr>
          <w:p>
            <w:pPr>
              <w:spacing w:line="280"/>
            </w:pPr>
            <w:r>
              <w:rPr>
                <w:color w:val="10203A"/>
                <w:sz w:val="19"/>
                <w:szCs w:val="19"/>
              </w:rPr>
              <w:t xml:space="preserve">Browse catalog, build cart, choose payment method, enter amount received</w:t>
            </w:r>
          </w:p>
        </w:tc>
      </w:tr>
      <w:tr>
        <w:tc>
          <w:tcPr>
            <w:tcW w:type="dxa" w:w="1600"/>
            <w:tcMar>
              <w:top w:type="dxa" w:w="90"/>
              <w:left w:type="dxa" w:w="100"/>
              <w:bottom w:type="dxa" w:w="90"/>
              <w:right w:type="dxa" w:w="100"/>
            </w:tcMar>
          </w:tcPr>
          <w:p>
            <w:pPr>
              <w:spacing w:line="280"/>
            </w:pPr>
            <w:r>
              <w:rPr>
                <w:color w:val="10203A"/>
                <w:sz w:val="19"/>
                <w:szCs w:val="19"/>
              </w:rPr>
              <w:t xml:space="preserve">2 — Payment</w:t>
            </w:r>
          </w:p>
        </w:tc>
        <w:tc>
          <w:tcPr>
            <w:tcW w:type="dxa" w:w="4200"/>
            <w:tcMar>
              <w:top w:type="dxa" w:w="90"/>
              <w:left w:type="dxa" w:w="100"/>
              <w:bottom w:type="dxa" w:w="90"/>
              <w:right w:type="dxa" w:w="100"/>
            </w:tcMar>
          </w:tcPr>
          <w:p>
            <w:pPr>
              <w:spacing w:line="280"/>
            </w:pPr>
            <w:r>
              <w:rPr>
                <w:color w:val="10203A"/>
                <w:sz w:val="19"/>
                <w:szCs w:val="19"/>
              </w:rPr>
              <w:t xml:space="preserve">Own screen — payment method, amount, settlement discount, notes</w:t>
            </w:r>
          </w:p>
        </w:tc>
        <w:tc>
          <w:tcPr>
            <w:tcW w:type="dxa" w:w="3560"/>
            <w:tcMar>
              <w:top w:type="dxa" w:w="90"/>
              <w:left w:type="dxa" w:w="100"/>
              <w:bottom w:type="dxa" w:w="90"/>
              <w:right w:type="dxa" w:w="100"/>
            </w:tcMar>
          </w:tcPr>
          <w:p>
            <w:pPr>
              <w:spacing w:line="280"/>
            </w:pPr>
            <w:r>
              <w:rPr>
                <w:color w:val="10203A"/>
                <w:sz w:val="19"/>
                <w:szCs w:val="19"/>
              </w:rPr>
              <w:t xml:space="preserve">Skipped — merged into Step 1</w:t>
            </w:r>
          </w:p>
        </w:tc>
      </w:tr>
      <w:tr>
        <w:tc>
          <w:tcPr>
            <w:tcW w:type="dxa" w:w="1600"/>
            <w:tcMar>
              <w:top w:type="dxa" w:w="90"/>
              <w:left w:type="dxa" w:w="100"/>
              <w:bottom w:type="dxa" w:w="90"/>
              <w:right w:type="dxa" w:w="100"/>
            </w:tcMar>
          </w:tcPr>
          <w:p>
            <w:pPr>
              <w:spacing w:line="280"/>
            </w:pPr>
            <w:r>
              <w:rPr>
                <w:color w:val="10203A"/>
                <w:sz w:val="19"/>
                <w:szCs w:val="19"/>
              </w:rPr>
              <w:t xml:space="preserve">3 — Review</w:t>
            </w:r>
          </w:p>
        </w:tc>
        <w:tc>
          <w:tcPr>
            <w:tcW w:type="dxa" w:w="4200"/>
            <w:tcMar>
              <w:top w:type="dxa" w:w="90"/>
              <w:left w:type="dxa" w:w="100"/>
              <w:bottom w:type="dxa" w:w="90"/>
              <w:right w:type="dxa" w:w="100"/>
            </w:tcMar>
          </w:tcPr>
          <w:p>
            <w:pPr>
              <w:spacing w:line="280"/>
            </w:pPr>
            <w:r>
              <w:rPr>
                <w:color w:val="10203A"/>
                <w:sz w:val="19"/>
                <w:szCs w:val="19"/>
              </w:rPr>
              <w:t xml:space="preserve">Receipt preview, signature, save</w:t>
            </w:r>
          </w:p>
        </w:tc>
        <w:tc>
          <w:tcPr>
            <w:tcW w:type="dxa" w:w="3560"/>
            <w:tcMar>
              <w:top w:type="dxa" w:w="90"/>
              <w:left w:type="dxa" w:w="100"/>
              <w:bottom w:type="dxa" w:w="90"/>
              <w:right w:type="dxa" w:w="100"/>
            </w:tcMar>
          </w:tcPr>
          <w:p>
            <w:pPr>
              <w:spacing w:line="280"/>
            </w:pPr>
            <w:r>
              <w:rPr>
                <w:color w:val="10203A"/>
                <w:sz w:val="19"/>
                <w:szCs w:val="19"/>
              </w:rPr>
              <w:t xml:space="preserve">Same, wider layout</w:t>
            </w:r>
          </w:p>
        </w:tc>
      </w:tr>
    </w:tbl>
    <w:p>
      <w:pPr>
        <w:spacing w:after="80"/>
      </w:pPr>
    </w:p>
    <w:tbl>
      <w:tblPr>
        <w:tblW w:type="pct" w:w="100%"/>
        <w:tblBorders>
          <w:top w:val="single" w:color="D8E0E9" w:sz="4"/>
          <w:left w:val="single" w:color="D8E0E9" w:sz="4"/>
          <w:bottom w:val="single" w:color="D8E0E9" w:sz="4"/>
          <w:right w:val="single" w:color="D8E0E9" w:sz="4"/>
          <w:insideH w:val="none" w:color="D8E0E9" w:sz="0"/>
          <w:insideV w:val="none" w:color="D8E0E9" w:sz="0"/>
        </w:tblBorders>
      </w:tblPr>
      <w:tblGrid>
        <w:gridCol w:w="100"/>
      </w:tblGrid>
      <w:tr>
        <w:tc>
          <w:tcPr>
            <w:tcW w:type="pct" w:w="100%"/>
            <w:shd w:fill="EAEFF5" w:val="clear"/>
            <w:tcMar>
              <w:top w:type="dxa" w:w="160"/>
              <w:left w:type="dxa" w:w="200"/>
              <w:bottom w:type="dxa" w:w="160"/>
              <w:right w:type="dxa" w:w="200"/>
            </w:tcMar>
          </w:tcPr>
          <w:p>
            <w:pPr>
              <w:spacing w:after="60"/>
            </w:pPr>
            <w:r>
              <w:rPr>
                <w:b/>
                <w:bCs/>
                <w:color w:val="57667C"/>
                <w:sz w:val="20"/>
                <w:szCs w:val="20"/>
              </w:rPr>
              <w:t xml:space="preserve">Note</w:t>
            </w:r>
          </w:p>
          <w:p>
            <w:pPr>
              <w:spacing w:after="0"/>
            </w:pPr>
            <w:r>
              <w:rPr>
                <w:color w:val="57667C"/>
                <w:sz w:val="20"/>
                <w:szCs w:val="20"/>
              </w:rPr>
              <w:t xml:space="preserve">A dealer can have up to 5 invoices open as tabs at once (draft switcher in the desktop header) — e.g. serving three farmers at the counter while a delivery bill sits half-finished. Any redesign needs to keep that multi-draft model, not just a single active cart.</w:t>
            </w:r>
          </w:p>
        </w:tc>
      </w:tr>
    </w:tbl>
    <w:p>
      <w:pPr>
        <w:spacing w:after="200"/>
      </w:pPr>
    </w:p>
    <w:p>
      <w:pPr>
        <w:pStyle w:val="Heading1"/>
        <w:spacing w:after="160" w:before="480"/>
      </w:pPr>
      <w:r>
        <w:rPr>
          <w:b/>
          <w:bCs/>
          <w:color w:val="10203A"/>
          <w:sz w:val="30"/>
          <w:szCs w:val="30"/>
        </w:rPr>
        <w:t xml:space="preserve">01 · Page chrome — header, stepper &amp; draft tabs</w:t>
      </w:r>
    </w:p>
    <w:p>
      <w:pPr>
        <w:spacing w:after="160" w:line="320"/>
      </w:pPr>
      <w:r>
        <w:rPr>
          <w:color w:val="10203A"/>
          <w:sz w:val="21"/>
          <w:szCs w:val="21"/>
        </w:rPr>
        <w:t xml:space="preserve">Different chrome renders below and above the </w:t>
      </w:r>
      <w:r>
        <w:rPr>
          <w:rFonts w:ascii="Consolas" w:cs="Consolas" w:eastAsia="Consolas" w:hAnsi="Consolas"/>
          <w:color w:val="57667C"/>
          <w:sz w:val="18"/>
          <w:szCs w:val="18"/>
        </w:rPr>
        <w:t xml:space="preserve">lg</w:t>
      </w:r>
      <w:r>
        <w:rPr>
          <w:color w:val="10203A"/>
          <w:sz w:val="21"/>
          <w:szCs w:val="21"/>
        </w:rPr>
        <w:t xml:space="preserve"> breakpoint (1024px) — not just a resized version of the same header.</w:t>
      </w:r>
    </w:p>
    <w:p>
      <w:pPr>
        <w:pStyle w:val="Heading2"/>
        <w:spacing w:after="120" w:before="320"/>
      </w:pPr>
      <w:r>
        <w:rPr>
          <w:b/>
          <w:bCs/>
          <w:color w:val="0B3F9E"/>
          <w:sz w:val="24"/>
          <w:szCs w:val="24"/>
        </w:rPr>
        <w:t xml:space="preserve">Mobile header  &lt;768px</w:t>
      </w:r>
    </w:p>
    <w:p>
      <w:pPr>
        <w:pStyle w:val="ListParagraph"/>
        <w:numPr>
          <w:ilvl w:val="0"/>
          <w:numId w:val="2"/>
        </w:numPr>
        <w:spacing w:after="90" w:line="300"/>
      </w:pPr>
      <w:r>
        <w:rPr>
          <w:b/>
          <w:bCs/>
          <w:color w:val="10203A"/>
          <w:sz w:val="21"/>
          <w:szCs w:val="21"/>
        </w:rPr>
        <w:t xml:space="preserve">Back</w:t>
      </w:r>
      <w:r>
        <w:rPr>
          <w:color w:val="10203A"/>
          <w:sz w:val="21"/>
          <w:szCs w:val="21"/>
        </w:rPr>
        <w:t xml:space="preserve"> arrow — top-left. Step 1 → exits to the bill list; step 2/3 → previous step.</w:t>
      </w:r>
    </w:p>
    <w:p>
      <w:pPr>
        <w:pStyle w:val="ListParagraph"/>
        <w:numPr>
          <w:ilvl w:val="0"/>
          <w:numId w:val="2"/>
        </w:numPr>
        <w:spacing w:after="90" w:line="300"/>
      </w:pPr>
      <w:r>
        <w:rPr>
          <w:b/>
          <w:bCs/>
          <w:color w:val="10203A"/>
          <w:sz w:val="21"/>
          <w:szCs w:val="21"/>
        </w:rPr>
        <w:t xml:space="preserve">Close (✕)</w:t>
      </w:r>
      <w:r>
        <w:rPr>
          <w:color w:val="10203A"/>
          <w:sz w:val="21"/>
          <w:szCs w:val="21"/>
        </w:rPr>
        <w:t xml:space="preserve"> — top-right, exits to the bill list. Same as pressing Esc.</w:t>
      </w:r>
    </w:p>
    <w:p>
      <w:pPr>
        <w:pStyle w:val="ListParagraph"/>
        <w:numPr>
          <w:ilvl w:val="0"/>
          <w:numId w:val="2"/>
        </w:numPr>
        <w:spacing w:after="90" w:line="300"/>
      </w:pPr>
      <w:r>
        <w:rPr>
          <w:color w:val="10203A"/>
          <w:sz w:val="21"/>
          <w:szCs w:val="21"/>
        </w:rPr>
        <w:t xml:space="preserve">Below that: eyebrow text “STEP n OF 3”, a page title (“New Invoice” / “Payment Details” / “Review”), and a date picker pinned to the right.</w:t>
      </w:r>
    </w:p>
    <w:p>
      <w:pPr>
        <w:pStyle w:val="ListParagraph"/>
        <w:numPr>
          <w:ilvl w:val="0"/>
          <w:numId w:val="2"/>
        </w:numPr>
        <w:spacing w:after="90" w:line="300"/>
      </w:pPr>
      <w:r>
        <w:rPr>
          <w:color w:val="10203A"/>
          <w:sz w:val="21"/>
          <w:szCs w:val="21"/>
        </w:rPr>
        <w:t xml:space="preserve">A dotted 3-node progress stepper (Items → Payment → Review) sits just under the blue header band. Completed steps are tappable to jump back; future steps are disabled.</w:t>
      </w:r>
    </w:p>
    <w:p>
      <w:pPr>
        <w:pStyle w:val="Heading2"/>
        <w:spacing w:after="120" w:before="320"/>
      </w:pPr>
      <w:r>
        <w:rPr>
          <w:b/>
          <w:bCs/>
          <w:color w:val="0B3F9E"/>
          <w:sz w:val="24"/>
          <w:szCs w:val="24"/>
        </w:rPr>
        <w:t xml:space="preserve">Desktop header  ≥1024px</w:t>
      </w:r>
    </w:p>
    <w:p>
      <w:pPr>
        <w:spacing w:after="160" w:line="320"/>
      </w:pPr>
      <w:r>
        <w:rPr>
          <w:color w:val="10203A"/>
          <w:sz w:val="21"/>
          <w:szCs w:val="21"/>
        </w:rPr>
        <w:t xml:space="preserve">Replaced entirely by a slim toolbar: page title “New Invoice”, then a horizontally-scrolling row of </w:t>
      </w:r>
      <w:r>
        <w:rPr>
          <w:b/>
          <w:bCs/>
          <w:color w:val="10203A"/>
          <w:sz w:val="21"/>
          <w:szCs w:val="21"/>
        </w:rPr>
        <w:t xml:space="preserve">draft tabs</w:t>
      </w:r>
      <w:r>
        <w:rPr>
          <w:color w:val="10203A"/>
          <w:sz w:val="21"/>
          <w:szCs w:val="21"/>
        </w:rPr>
        <w:t xml:space="preserve"> (one per open invoice — shows farmer name or “Draft”, an amber dot while unsaved, item count badge, and its own ✕ to close), a </w:t>
      </w:r>
      <w:r>
        <w:rPr>
          <w:b/>
          <w:bCs/>
          <w:color w:val="10203A"/>
          <w:sz w:val="21"/>
          <w:szCs w:val="21"/>
        </w:rPr>
        <w:t xml:space="preserve">+</w:t>
      </w:r>
      <w:r>
        <w:rPr>
          <w:color w:val="10203A"/>
          <w:sz w:val="21"/>
          <w:szCs w:val="21"/>
        </w:rPr>
        <w:t xml:space="preserve"> button to open a new draft (disabled at 5), a date picker, and a red ✕ “Close invoice” button (tooltip: “Close invoice (Esc)”). There is no 3-step visual stepper on desktop — because there are only 2 steps to show.</w:t>
      </w:r>
    </w:p>
    <w:tbl>
      <w:tblPr>
        <w:tblW w:type="pct" w:w="100%"/>
        <w:tblBorders>
          <w:top w:val="single" w:color="F2DDB4" w:sz="4"/>
          <w:left w:val="single" w:color="F2DDB4" w:sz="4"/>
          <w:bottom w:val="single" w:color="F2DDB4" w:sz="4"/>
          <w:right w:val="single" w:color="F2DDB4" w:sz="4"/>
          <w:insideH w:val="none" w:color="F2DDB4" w:sz="0"/>
          <w:insideV w:val="none" w:color="F2DDB4" w:sz="0"/>
        </w:tblBorders>
      </w:tblPr>
      <w:tblGrid>
        <w:gridCol w:w="100"/>
      </w:tblGrid>
      <w:tr>
        <w:tc>
          <w:tcPr>
            <w:tcW w:type="pct" w:w="100%"/>
            <w:shd w:fill="FDF1E2" w:val="clear"/>
            <w:tcMar>
              <w:top w:type="dxa" w:w="160"/>
              <w:left w:type="dxa" w:w="200"/>
              <w:bottom w:type="dxa" w:w="160"/>
              <w:right w:type="dxa" w:w="200"/>
            </w:tcMar>
          </w:tcPr>
          <w:p>
            <w:pPr>
              <w:spacing w:after="60"/>
            </w:pPr>
            <w:r>
              <w:rPr>
                <w:b/>
                <w:bCs/>
                <w:color w:val="92400E"/>
                <w:sz w:val="20"/>
                <w:szCs w:val="20"/>
              </w:rPr>
              <w:t xml:space="preserve">Watch for this</w:t>
            </w:r>
          </w:p>
          <w:p>
            <w:pPr>
              <w:spacing w:after="0"/>
            </w:pPr>
            <w:r>
              <w:rPr>
                <w:color w:val="92400E"/>
                <w:sz w:val="20"/>
                <w:szCs w:val="20"/>
              </w:rPr>
              <w:t xml:space="preserve">Closing a draft with items in it, or one marked dirty, opens a confirm dialog ("Discard invoice draft? / Keep Draft / Discard Draft") — this is the only confirmation dialog anywhere in the create-bill flow before Review, so it’s easy to miss in a redesign that streamlines the tab bar.</w:t>
            </w:r>
          </w:p>
        </w:tc>
      </w:tr>
    </w:tbl>
    <w:p>
      <w:pPr>
        <w:spacing w:after="80"/>
      </w:pPr>
    </w:p>
    <w:p>
      <w:pPr>
        <w:pStyle w:val="Heading2"/>
        <w:spacing w:after="120" w:before="320"/>
      </w:pPr>
      <w:r>
        <w:rPr>
          <w:b/>
          <w:bCs/>
          <w:color w:val="0B3F9E"/>
          <w:sz w:val="24"/>
          <w:szCs w:val="24"/>
        </w:rPr>
        <w:t xml:space="preserve">Keyboard shortcuts (desktop)</w:t>
      </w:r>
    </w:p>
    <w:tbl>
      <w:tblPr>
        <w:tblW w:type="dxa" w:w="9360"/>
        <w:tblBorders>
          <w:top w:val="single" w:color="D8E0E9" w:sz="2"/>
          <w:left w:val="none" w:color="D8E0E9" w:sz="0"/>
          <w:bottom w:val="single" w:color="D8E0E9" w:sz="2"/>
          <w:right w:val="none" w:color="D8E0E9" w:sz="0"/>
          <w:insideH w:val="single" w:color="D8E0E9" w:sz="2"/>
          <w:insideV w:val="none" w:color="D8E0E9" w:sz="0"/>
        </w:tblBorders>
      </w:tblPr>
      <w:tblGrid>
        <w:gridCol w:w="2400"/>
        <w:gridCol w:w="6960"/>
      </w:tblGrid>
      <w:tr>
        <w:trPr>
          <w:tblHeader/>
        </w:trPr>
        <w:tc>
          <w:tcPr>
            <w:tcW w:type="dxa" w:w="240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Key</w:t>
            </w:r>
          </w:p>
        </w:tc>
        <w:tc>
          <w:tcPr>
            <w:tcW w:type="dxa" w:w="696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Effect</w:t>
            </w:r>
          </w:p>
        </w:tc>
      </w:tr>
      <w:tr>
        <w:tc>
          <w:tcPr>
            <w:tcW w:type="dxa" w:w="2400"/>
            <w:tcMar>
              <w:top w:type="dxa" w:w="90"/>
              <w:left w:type="dxa" w:w="100"/>
              <w:bottom w:type="dxa" w:w="90"/>
              <w:right w:type="dxa" w:w="100"/>
            </w:tcMar>
          </w:tcPr>
          <w:p>
            <w:pPr>
              <w:spacing w:line="280"/>
            </w:pPr>
            <w:r>
              <w:rPr>
                <w:color w:val="10203A"/>
                <w:sz w:val="19"/>
                <w:szCs w:val="19"/>
              </w:rPr>
              <w:t xml:space="preserve">Esc</w:t>
            </w:r>
          </w:p>
        </w:tc>
        <w:tc>
          <w:tcPr>
            <w:tcW w:type="dxa" w:w="6960"/>
            <w:tcMar>
              <w:top w:type="dxa" w:w="90"/>
              <w:left w:type="dxa" w:w="100"/>
              <w:bottom w:type="dxa" w:w="90"/>
              <w:right w:type="dxa" w:w="100"/>
            </w:tcMar>
          </w:tcPr>
          <w:p>
            <w:pPr>
              <w:spacing w:line="280"/>
            </w:pPr>
            <w:r>
              <w:rPr>
                <w:color w:val="10203A"/>
                <w:sz w:val="19"/>
                <w:szCs w:val="19"/>
              </w:rPr>
              <w:t xml:space="preserve">Exit to bill list from anywhere in the wizard</w:t>
            </w:r>
          </w:p>
        </w:tc>
      </w:tr>
      <w:tr>
        <w:tc>
          <w:tcPr>
            <w:tcW w:type="dxa" w:w="2400"/>
            <w:tcMar>
              <w:top w:type="dxa" w:w="90"/>
              <w:left w:type="dxa" w:w="100"/>
              <w:bottom w:type="dxa" w:w="90"/>
              <w:right w:type="dxa" w:w="100"/>
            </w:tcMar>
          </w:tcPr>
          <w:p>
            <w:pPr>
              <w:spacing w:line="280"/>
            </w:pPr>
            <w:r>
              <w:rPr>
                <w:color w:val="10203A"/>
                <w:sz w:val="19"/>
                <w:szCs w:val="19"/>
              </w:rPr>
              <w:t xml:space="preserve">Ctrl / ⌘ + K,  or  /</w:t>
            </w:r>
          </w:p>
        </w:tc>
        <w:tc>
          <w:tcPr>
            <w:tcW w:type="dxa" w:w="6960"/>
            <w:tcMar>
              <w:top w:type="dxa" w:w="90"/>
              <w:left w:type="dxa" w:w="100"/>
              <w:bottom w:type="dxa" w:w="90"/>
              <w:right w:type="dxa" w:w="100"/>
            </w:tcMar>
          </w:tcPr>
          <w:p>
            <w:pPr>
              <w:spacing w:line="280"/>
            </w:pPr>
            <w:r>
              <w:rPr>
                <w:color w:val="10203A"/>
                <w:sz w:val="19"/>
                <w:szCs w:val="19"/>
              </w:rPr>
              <w:t xml:space="preserve">Focus the product search box (Items step)</w:t>
            </w:r>
          </w:p>
        </w:tc>
      </w:tr>
      <w:tr>
        <w:tc>
          <w:tcPr>
            <w:tcW w:type="dxa" w:w="2400"/>
            <w:tcMar>
              <w:top w:type="dxa" w:w="90"/>
              <w:left w:type="dxa" w:w="100"/>
              <w:bottom w:type="dxa" w:w="90"/>
              <w:right w:type="dxa" w:w="100"/>
            </w:tcMar>
          </w:tcPr>
          <w:p>
            <w:pPr>
              <w:spacing w:line="280"/>
            </w:pPr>
            <w:r>
              <w:rPr>
                <w:color w:val="10203A"/>
                <w:sz w:val="19"/>
                <w:szCs w:val="19"/>
              </w:rPr>
              <w:t xml:space="preserve">F12</w:t>
            </w:r>
          </w:p>
        </w:tc>
        <w:tc>
          <w:tcPr>
            <w:tcW w:type="dxa" w:w="6960"/>
            <w:tcMar>
              <w:top w:type="dxa" w:w="90"/>
              <w:left w:type="dxa" w:w="100"/>
              <w:bottom w:type="dxa" w:w="90"/>
              <w:right w:type="dxa" w:w="100"/>
            </w:tcMar>
          </w:tcPr>
          <w:p>
            <w:pPr>
              <w:spacing w:line="280"/>
            </w:pPr>
            <w:r>
              <w:rPr>
                <w:color w:val="10203A"/>
                <w:sz w:val="19"/>
                <w:szCs w:val="19"/>
              </w:rPr>
              <w:t xml:space="preserve">Skip straight to the next step, if the cart isn’t empty</w:t>
            </w:r>
          </w:p>
        </w:tc>
      </w:tr>
      <w:tr>
        <w:tc>
          <w:tcPr>
            <w:tcW w:type="dxa" w:w="2400"/>
            <w:tcMar>
              <w:top w:type="dxa" w:w="90"/>
              <w:left w:type="dxa" w:w="100"/>
              <w:bottom w:type="dxa" w:w="90"/>
              <w:right w:type="dxa" w:w="100"/>
            </w:tcMar>
          </w:tcPr>
          <w:p>
            <w:pPr>
              <w:spacing w:line="280"/>
            </w:pPr>
            <w:r>
              <w:rPr>
                <w:color w:val="10203A"/>
                <w:sz w:val="19"/>
                <w:szCs w:val="19"/>
              </w:rPr>
              <w:t xml:space="preserve">any single letter</w:t>
            </w:r>
          </w:p>
        </w:tc>
        <w:tc>
          <w:tcPr>
            <w:tcW w:type="dxa" w:w="6960"/>
            <w:tcMar>
              <w:top w:type="dxa" w:w="90"/>
              <w:left w:type="dxa" w:w="100"/>
              <w:bottom w:type="dxa" w:w="90"/>
              <w:right w:type="dxa" w:w="100"/>
            </w:tcMar>
          </w:tcPr>
          <w:p>
            <w:pPr>
              <w:spacing w:line="280"/>
            </w:pPr>
            <w:r>
              <w:rPr>
                <w:color w:val="10203A"/>
                <w:sz w:val="19"/>
                <w:szCs w:val="19"/>
              </w:rPr>
              <w:t xml:space="preserve">While not already typing in a field, jumps focus into the farmer search box and starts typing that letter — a "just start typing the customer’s name" shortcut</w:t>
            </w:r>
          </w:p>
        </w:tc>
      </w:tr>
    </w:tbl>
    <w:p>
      <w:pPr>
        <w:spacing w:after="200"/>
      </w:pPr>
    </w:p>
    <w:p>
      <w:pPr>
        <w:pStyle w:val="Heading1"/>
        <w:spacing w:after="160" w:before="480"/>
      </w:pPr>
      <w:r>
        <w:rPr>
          <w:b/>
          <w:bCs/>
          <w:color w:val="10203A"/>
          <w:sz w:val="30"/>
          <w:szCs w:val="30"/>
        </w:rPr>
        <w:t xml:space="preserve">02 · Step 1 — Items: catalog + cart + payment</w:t>
      </w:r>
    </w:p>
    <w:p>
      <w:pPr>
        <w:spacing w:after="160" w:line="320"/>
      </w:pPr>
      <w:r>
        <w:rPr>
          <w:color w:val="10203A"/>
          <w:sz w:val="21"/>
          <w:szCs w:val="21"/>
        </w:rPr>
        <w:t xml:space="preserve">Built by </w:t>
      </w:r>
      <w:r>
        <w:rPr>
          <w:rFonts w:ascii="Consolas" w:cs="Consolas" w:eastAsia="Consolas" w:hAnsi="Consolas"/>
          <w:color w:val="57667C"/>
          <w:sz w:val="18"/>
          <w:szCs w:val="18"/>
        </w:rPr>
        <w:t xml:space="preserve">ProductSelector.tsx</w:t>
      </w:r>
      <w:r>
        <w:rPr>
          <w:color w:val="10203A"/>
          <w:sz w:val="21"/>
          <w:szCs w:val="21"/>
        </w:rPr>
        <w:t xml:space="preserve"> — by far the largest and most different-per-breakpoint screen in the flow. Mobile and desktop are close to two separate implementations sharing state.</w:t>
      </w:r>
    </w:p>
    <w:p>
      <w:pPr>
        <w:pStyle w:val="Heading2"/>
        <w:spacing w:after="120" w:before="320"/>
      </w:pPr>
      <w:r>
        <w:rPr>
          <w:b/>
          <w:bCs/>
          <w:color w:val="0B3F9E"/>
          <w:sz w:val="24"/>
          <w:szCs w:val="24"/>
        </w:rPr>
        <w:t xml:space="preserve">Customer bar</w:t>
      </w:r>
    </w:p>
    <w:p>
      <w:pPr>
        <w:spacing w:after="160" w:line="320"/>
      </w:pPr>
      <w:r>
        <w:rPr>
          <w:b/>
          <w:bCs/>
          <w:color w:val="10203A"/>
          <w:sz w:val="21"/>
          <w:szCs w:val="21"/>
        </w:rPr>
        <w:t xml:space="preserve">Mobile: </w:t>
      </w:r>
      <w:r>
        <w:rPr>
          <w:color w:val="10203A"/>
          <w:sz w:val="21"/>
          <w:szCs w:val="21"/>
        </w:rPr>
        <w:t xml:space="preserve">a single row — customer avatar (photo or generic icon), name (“Walk-in Customer” if none picked) and village, with a “Change” button that opens a full-screen customer picker.</w:t>
      </w:r>
    </w:p>
    <w:p>
      <w:pPr>
        <w:spacing w:after="160" w:line="320"/>
      </w:pPr>
      <w:r>
        <w:rPr>
          <w:b/>
          <w:bCs/>
          <w:color w:val="10203A"/>
          <w:sz w:val="21"/>
          <w:szCs w:val="21"/>
        </w:rPr>
        <w:t xml:space="preserve">Desktop: </w:t>
      </w:r>
      <w:r>
        <w:rPr>
          <w:color w:val="10203A"/>
          <w:sz w:val="21"/>
          <w:szCs w:val="21"/>
        </w:rPr>
        <w:t xml:space="preserve">a full toolbar above the two-column layout — farmer search box (searches name / phone / village, dropdown of up to 6 matches), plus three standalone buttons: </w:t>
      </w:r>
      <w:r>
        <w:rPr>
          <w:b/>
          <w:bCs/>
          <w:color w:val="10203A"/>
          <w:sz w:val="21"/>
          <w:szCs w:val="21"/>
        </w:rPr>
        <w:t xml:space="preserve">Walk-in Customer</w:t>
      </w:r>
      <w:r>
        <w:rPr>
          <w:color w:val="10203A"/>
          <w:sz w:val="21"/>
          <w:szCs w:val="21"/>
        </w:rPr>
        <w:t xml:space="preserve">, </w:t>
      </w:r>
      <w:r>
        <w:rPr>
          <w:b/>
          <w:bCs/>
          <w:color w:val="10203A"/>
          <w:sz w:val="21"/>
          <w:szCs w:val="21"/>
        </w:rPr>
        <w:t xml:space="preserve">Add New Farmer</w:t>
      </w:r>
      <w:r>
        <w:rPr>
          <w:color w:val="10203A"/>
          <w:sz w:val="21"/>
          <w:szCs w:val="21"/>
        </w:rPr>
        <w:t xml:space="preserve"> (primary blue), and two utility actions off to the side — </w:t>
      </w:r>
      <w:r>
        <w:rPr>
          <w:b/>
          <w:bCs/>
          <w:color w:val="10203A"/>
          <w:sz w:val="21"/>
          <w:szCs w:val="21"/>
        </w:rPr>
        <w:t xml:space="preserve">Payments</w:t>
      </w:r>
      <w:r>
        <w:rPr>
          <w:color w:val="10203A"/>
          <w:sz w:val="21"/>
          <w:szCs w:val="21"/>
        </w:rPr>
        <w:t xml:space="preserve"> (collect a payment against a farmer’s balance without billing anything) and </w:t>
      </w:r>
      <w:r>
        <w:rPr>
          <w:b/>
          <w:bCs/>
          <w:color w:val="10203A"/>
          <w:sz w:val="21"/>
          <w:szCs w:val="21"/>
        </w:rPr>
        <w:t xml:space="preserve">Returns</w:t>
      </w:r>
      <w:r>
        <w:rPr>
          <w:color w:val="10203A"/>
          <w:sz w:val="21"/>
          <w:szCs w:val="21"/>
        </w:rPr>
        <w:t xml:space="preserve"> (record a return against past bills). Payments/Returns are only reachable from this desktop toolbar; there’s no mobile equivalent in this flow.</w:t>
      </w:r>
    </w:p>
    <w:p>
      <w:pPr>
        <w:pStyle w:val="Heading2"/>
        <w:spacing w:after="120" w:before="320"/>
      </w:pPr>
      <w:r>
        <w:rPr>
          <w:b/>
          <w:bCs/>
          <w:color w:val="0B3F9E"/>
          <w:sz w:val="24"/>
          <w:szCs w:val="24"/>
        </w:rPr>
        <w:t xml:space="preserve">Quick Add  (mobile only)</w:t>
      </w:r>
    </w:p>
    <w:p>
      <w:pPr>
        <w:spacing w:after="160" w:line="320"/>
      </w:pPr>
      <w:r>
        <w:rPr>
          <w:color w:val="10203A"/>
          <w:sz w:val="21"/>
          <w:szCs w:val="21"/>
        </w:rPr>
        <w:t xml:space="preserve">Two big tiles — “Feed” and “Medicine” — each showing a live count of catalog items of that type. Tapping one opens a bottom sheet with search + the product grid filtered to that type. Desktop replaces this entirely with the always-visible Feed/Medicine tab pair described below.</w:t>
      </w:r>
    </w:p>
    <w:p>
      <w:pPr>
        <w:pStyle w:val="Heading2"/>
        <w:spacing w:after="120" w:before="320"/>
      </w:pPr>
      <w:r>
        <w:rPr>
          <w:b/>
          <w:bCs/>
          <w:color w:val="0B3F9E"/>
          <w:sz w:val="24"/>
          <w:szCs w:val="24"/>
        </w:rPr>
        <w:t xml:space="preserve">Product catalog (browse &amp; add)</w:t>
      </w:r>
    </w:p>
    <w:tbl>
      <w:tblPr>
        <w:tblW w:type="dxa" w:w="9360"/>
        <w:tblBorders>
          <w:top w:val="single" w:color="D8E0E9" w:sz="2"/>
          <w:left w:val="none" w:color="D8E0E9" w:sz="0"/>
          <w:bottom w:val="single" w:color="D8E0E9" w:sz="2"/>
          <w:right w:val="none" w:color="D8E0E9" w:sz="0"/>
          <w:insideH w:val="single" w:color="D8E0E9" w:sz="2"/>
          <w:insideV w:val="none" w:color="D8E0E9" w:sz="0"/>
        </w:tblBorders>
      </w:tblPr>
      <w:tblGrid>
        <w:gridCol w:w="2400"/>
        <w:gridCol w:w="6960"/>
      </w:tblGrid>
      <w:tr>
        <w:trPr>
          <w:tblHeader/>
        </w:trPr>
        <w:tc>
          <w:tcPr>
            <w:tcW w:type="dxa" w:w="240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Control</w:t>
            </w:r>
          </w:p>
        </w:tc>
        <w:tc>
          <w:tcPr>
            <w:tcW w:type="dxa" w:w="696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Behavior</w:t>
            </w:r>
          </w:p>
        </w:tc>
      </w:tr>
      <w:tr>
        <w:tc>
          <w:tcPr>
            <w:tcW w:type="dxa" w:w="2400"/>
            <w:tcMar>
              <w:top w:type="dxa" w:w="90"/>
              <w:left w:type="dxa" w:w="100"/>
              <w:bottom w:type="dxa" w:w="90"/>
              <w:right w:type="dxa" w:w="100"/>
            </w:tcMar>
          </w:tcPr>
          <w:p>
            <w:pPr>
              <w:spacing w:line="280"/>
            </w:pPr>
            <w:r>
              <w:rPr>
                <w:color w:val="10203A"/>
                <w:sz w:val="19"/>
                <w:szCs w:val="19"/>
              </w:rPr>
              <w:t xml:space="preserve">Feed / Medicine tabs</w:t>
            </w:r>
          </w:p>
        </w:tc>
        <w:tc>
          <w:tcPr>
            <w:tcW w:type="dxa" w:w="6960"/>
            <w:tcMar>
              <w:top w:type="dxa" w:w="90"/>
              <w:left w:type="dxa" w:w="100"/>
              <w:bottom w:type="dxa" w:w="90"/>
              <w:right w:type="dxa" w:w="100"/>
            </w:tcMar>
          </w:tcPr>
          <w:p>
            <w:pPr>
              <w:spacing w:line="280"/>
            </w:pPr>
            <w:r>
              <w:rPr>
                <w:color w:val="10203A"/>
                <w:sz w:val="19"/>
                <w:szCs w:val="19"/>
              </w:rPr>
              <w:t xml:space="preserve">Segmented control, each label shows a live item count, e.g. "Feed (42)"</w:t>
            </w:r>
          </w:p>
        </w:tc>
      </w:tr>
      <w:tr>
        <w:tc>
          <w:tcPr>
            <w:tcW w:type="dxa" w:w="2400"/>
            <w:tcMar>
              <w:top w:type="dxa" w:w="90"/>
              <w:left w:type="dxa" w:w="100"/>
              <w:bottom w:type="dxa" w:w="90"/>
              <w:right w:type="dxa" w:w="100"/>
            </w:tcMar>
          </w:tcPr>
          <w:p>
            <w:pPr>
              <w:spacing w:line="280"/>
            </w:pPr>
            <w:r>
              <w:rPr>
                <w:color w:val="10203A"/>
                <w:sz w:val="19"/>
                <w:szCs w:val="19"/>
              </w:rPr>
              <w:t xml:space="preserve">Search box</w:t>
            </w:r>
          </w:p>
        </w:tc>
        <w:tc>
          <w:tcPr>
            <w:tcW w:type="dxa" w:w="6960"/>
            <w:tcMar>
              <w:top w:type="dxa" w:w="90"/>
              <w:left w:type="dxa" w:w="100"/>
              <w:bottom w:type="dxa" w:w="90"/>
              <w:right w:type="dxa" w:w="100"/>
            </w:tcMar>
          </w:tcPr>
          <w:p>
            <w:pPr>
              <w:spacing w:line="280"/>
            </w:pPr>
            <w:r>
              <w:rPr>
                <w:color w:val="10203A"/>
                <w:sz w:val="19"/>
                <w:szCs w:val="19"/>
              </w:rPr>
              <w:t xml:space="preserve">Filters by product name or company/brand, live as you type</w:t>
            </w:r>
          </w:p>
        </w:tc>
      </w:tr>
      <w:tr>
        <w:tc>
          <w:tcPr>
            <w:tcW w:type="dxa" w:w="2400"/>
            <w:tcMar>
              <w:top w:type="dxa" w:w="90"/>
              <w:left w:type="dxa" w:w="100"/>
              <w:bottom w:type="dxa" w:w="90"/>
              <w:right w:type="dxa" w:w="100"/>
            </w:tcMar>
          </w:tcPr>
          <w:p>
            <w:pPr>
              <w:spacing w:line="280"/>
            </w:pPr>
            <w:r>
              <w:rPr>
                <w:color w:val="10203A"/>
                <w:sz w:val="19"/>
                <w:szCs w:val="19"/>
              </w:rPr>
              <w:t xml:space="preserve">Grid ↔ list toggle</w:t>
            </w:r>
          </w:p>
        </w:tc>
        <w:tc>
          <w:tcPr>
            <w:tcW w:type="dxa" w:w="6960"/>
            <w:tcMar>
              <w:top w:type="dxa" w:w="90"/>
              <w:left w:type="dxa" w:w="100"/>
              <w:bottom w:type="dxa" w:w="90"/>
              <w:right w:type="dxa" w:w="100"/>
            </w:tcMar>
          </w:tcPr>
          <w:p>
            <w:pPr>
              <w:spacing w:line="280"/>
            </w:pPr>
            <w:r>
              <w:rPr>
                <w:color w:val="10203A"/>
                <w:sz w:val="19"/>
                <w:szCs w:val="19"/>
              </w:rPr>
              <w:t xml:space="preserve">Desktop only. Grid = image cards; list = compact rows with stock count and an inline "Add" button</w:t>
            </w:r>
          </w:p>
        </w:tc>
      </w:tr>
      <w:tr>
        <w:tc>
          <w:tcPr>
            <w:tcW w:type="dxa" w:w="2400"/>
            <w:tcMar>
              <w:top w:type="dxa" w:w="90"/>
              <w:left w:type="dxa" w:w="100"/>
              <w:bottom w:type="dxa" w:w="90"/>
              <w:right w:type="dxa" w:w="100"/>
            </w:tcMar>
          </w:tcPr>
          <w:p>
            <w:pPr>
              <w:spacing w:line="280"/>
            </w:pPr>
            <w:r>
              <w:rPr>
                <w:color w:val="10203A"/>
                <w:sz w:val="19"/>
                <w:szCs w:val="19"/>
              </w:rPr>
              <w:t xml:space="preserve">Product card</w:t>
            </w:r>
          </w:p>
        </w:tc>
        <w:tc>
          <w:tcPr>
            <w:tcW w:type="dxa" w:w="6960"/>
            <w:tcMar>
              <w:top w:type="dxa" w:w="90"/>
              <w:left w:type="dxa" w:w="100"/>
              <w:bottom w:type="dxa" w:w="90"/>
              <w:right w:type="dxa" w:w="100"/>
            </w:tcMar>
          </w:tcPr>
          <w:p>
            <w:pPr>
              <w:spacing w:line="280"/>
            </w:pPr>
            <w:r>
              <w:rPr>
                <w:color w:val="10203A"/>
                <w:sz w:val="19"/>
                <w:szCs w:val="19"/>
              </w:rPr>
              <w:t xml:space="preserve">Image (or a feed/medicine placeholder icon), name, company, stock badge, unit price, an age badge ("New" / "Old" / "Very Old" — derived from FIFO lot ordering) when more than one batch exists, and an "Add to Bill" button that becomes a blue "In Cart (n)" pill once added</w:t>
            </w:r>
          </w:p>
        </w:tc>
      </w:tr>
      <w:tr>
        <w:tc>
          <w:tcPr>
            <w:tcW w:type="dxa" w:w="2400"/>
            <w:tcMar>
              <w:top w:type="dxa" w:w="90"/>
              <w:left w:type="dxa" w:w="100"/>
              <w:bottom w:type="dxa" w:w="90"/>
              <w:right w:type="dxa" w:w="100"/>
            </w:tcMar>
          </w:tcPr>
          <w:p>
            <w:pPr>
              <w:spacing w:line="280"/>
            </w:pPr>
            <w:r>
              <w:rPr>
                <w:color w:val="10203A"/>
                <w:sz w:val="19"/>
                <w:szCs w:val="19"/>
              </w:rPr>
              <w:t xml:space="preserve">Out of stock</w:t>
            </w:r>
          </w:p>
        </w:tc>
        <w:tc>
          <w:tcPr>
            <w:tcW w:type="dxa" w:w="6960"/>
            <w:tcMar>
              <w:top w:type="dxa" w:w="90"/>
              <w:left w:type="dxa" w:w="100"/>
              <w:bottom w:type="dxa" w:w="90"/>
              <w:right w:type="dxa" w:w="100"/>
            </w:tcMar>
          </w:tcPr>
          <w:p>
            <w:pPr>
              <w:spacing w:line="280"/>
            </w:pPr>
            <w:r>
              <w:rPr>
                <w:color w:val="10203A"/>
                <w:sz w:val="19"/>
                <w:szCs w:val="19"/>
              </w:rPr>
              <w:t xml:space="preserve">Button reads "Out" and is disabled</w:t>
            </w:r>
          </w:p>
        </w:tc>
      </w:tr>
      <w:tr>
        <w:tc>
          <w:tcPr>
            <w:tcW w:type="dxa" w:w="2400"/>
            <w:tcMar>
              <w:top w:type="dxa" w:w="90"/>
              <w:left w:type="dxa" w:w="100"/>
              <w:bottom w:type="dxa" w:w="90"/>
              <w:right w:type="dxa" w:w="100"/>
            </w:tcMar>
          </w:tcPr>
          <w:p>
            <w:pPr>
              <w:spacing w:line="280"/>
            </w:pPr>
            <w:r>
              <w:rPr>
                <w:color w:val="10203A"/>
                <w:sz w:val="19"/>
                <w:szCs w:val="19"/>
              </w:rPr>
              <w:t xml:space="preserve">Load More</w:t>
            </w:r>
          </w:p>
        </w:tc>
        <w:tc>
          <w:tcPr>
            <w:tcW w:type="dxa" w:w="6960"/>
            <w:tcMar>
              <w:top w:type="dxa" w:w="90"/>
              <w:left w:type="dxa" w:w="100"/>
              <w:bottom w:type="dxa" w:w="90"/>
              <w:right w:type="dxa" w:w="100"/>
            </w:tcMar>
          </w:tcPr>
          <w:p>
            <w:pPr>
              <w:spacing w:line="280"/>
            </w:pPr>
            <w:r>
              <w:rPr>
                <w:color w:val="10203A"/>
                <w:sz w:val="19"/>
                <w:szCs w:val="19"/>
              </w:rPr>
              <w:t xml:space="preserve">Catalog paginates 24 items at a time client-side rather than an infinite scroll</w:t>
            </w:r>
          </w:p>
        </w:tc>
      </w:tr>
    </w:tbl>
    <w:p>
      <w:pPr>
        <w:spacing w:after="160" w:line="320"/>
      </w:pPr>
      <w:r>
        <w:rPr>
          <w:color w:val="10203A"/>
          <w:sz w:val="21"/>
          <w:szCs w:val="21"/>
        </w:rPr>
        <w:t xml:space="preserve">Tapping a card adds </w:t>
      </w:r>
      <w:r>
        <w:rPr>
          <w:b/>
          <w:bCs/>
          <w:color w:val="10203A"/>
          <w:sz w:val="21"/>
          <w:szCs w:val="21"/>
        </w:rPr>
        <w:t xml:space="preserve">1 unit</w:t>
      </w:r>
      <w:r>
        <w:rPr>
          <w:color w:val="10203A"/>
          <w:sz w:val="21"/>
          <w:szCs w:val="21"/>
        </w:rPr>
        <w:t xml:space="preserve"> from the oldest lot with remaining capacity (FIFO), applying that farmer’s specific or default medicine discount automatically if one exists. It doesn’t ask for quantity up front — quantity is adjusted afterwards in the selected-items list.</w:t>
      </w:r>
    </w:p>
    <w:p>
      <w:pPr>
        <w:pStyle w:val="Heading2"/>
        <w:spacing w:after="120" w:before="320"/>
      </w:pPr>
      <w:r>
        <w:rPr>
          <w:b/>
          <w:bCs/>
          <w:color w:val="0B3F9E"/>
          <w:sz w:val="24"/>
          <w:szCs w:val="24"/>
        </w:rPr>
        <w:t xml:space="preserve">Selected items list</w:t>
      </w:r>
    </w:p>
    <w:p>
      <w:pPr>
        <w:spacing w:after="160" w:line="320"/>
      </w:pPr>
      <w:r>
        <w:rPr>
          <w:color w:val="10203A"/>
          <w:sz w:val="21"/>
          <w:szCs w:val="21"/>
        </w:rPr>
        <w:t xml:space="preserve">Mobile shows a compact 3-column table (Item / Qty-or-Action / Amount) with an “Edit” toggle that swaps the quantity stepper for a pencil icon per row. Desktop shows a full 8-column ledger — </w:t>
      </w:r>
      <w:r>
        <w:rPr>
          <w:rFonts w:ascii="Consolas" w:cs="Consolas" w:eastAsia="Consolas" w:hAnsi="Consolas"/>
          <w:color w:val="57667C"/>
          <w:sz w:val="18"/>
          <w:szCs w:val="18"/>
        </w:rPr>
        <w:t xml:space="preserve">#, Item, MRP, Disc., Rate, Qty, Amount, remove</w:t>
      </w:r>
      <w:r>
        <w:rPr>
          <w:color w:val="10203A"/>
          <w:sz w:val="21"/>
          <w:szCs w:val="21"/>
        </w:rPr>
        <w:t xml:space="preserve"> — with every Rate/Qty/Amount cell independently editable inline (typing a new Amount back-solves the discount %, typing a new Rate does the same; medicine items show MRP-minus-discount%, feed items show a flat selling price with no discount column). A trash icon removes a line entirely; quantity down to 1 and pressing minus again removes it.</w:t>
      </w:r>
    </w:p>
    <w:p>
      <w:pPr>
        <w:spacing w:after="160" w:line="320"/>
      </w:pPr>
      <w:r>
        <w:rPr>
          <w:color w:val="10203A"/>
          <w:sz w:val="21"/>
          <w:szCs w:val="21"/>
        </w:rPr>
        <w:t xml:space="preserve">Tapping an item’s name (or the pencil icon) opens an </w:t>
      </w:r>
      <w:r>
        <w:rPr>
          <w:b/>
          <w:bCs/>
          <w:color w:val="10203A"/>
          <w:sz w:val="21"/>
          <w:szCs w:val="21"/>
        </w:rPr>
        <w:t xml:space="preserve">Edit Item</w:t>
      </w:r>
      <w:r>
        <w:rPr>
          <w:color w:val="10203A"/>
          <w:sz w:val="21"/>
          <w:szCs w:val="21"/>
        </w:rPr>
        <w:t xml:space="preserve"> modal: batch/lot picker (when more than one batch exists, each shows batch number, age badge, remaining stock, MRP vs selling price, expiry), a “Default vs Farmer/Previous discount” quick-pick when both exist, then editable MRP / Discount % / Selling Price fields that stay in sync with each other.</w:t>
      </w:r>
    </w:p>
    <w:tbl>
      <w:tblPr>
        <w:tblW w:type="pct" w:w="100%"/>
        <w:tblBorders>
          <w:top w:val="single" w:color="C3E9DC" w:sz="4"/>
          <w:left w:val="single" w:color="C3E9DC" w:sz="4"/>
          <w:bottom w:val="single" w:color="C3E9DC" w:sz="4"/>
          <w:right w:val="single" w:color="C3E9DC" w:sz="4"/>
          <w:insideH w:val="none" w:color="C3E9DC" w:sz="0"/>
          <w:insideV w:val="none" w:color="C3E9DC" w:sz="0"/>
        </w:tblBorders>
      </w:tblPr>
      <w:tblGrid>
        <w:gridCol w:w="100"/>
      </w:tblGrid>
      <w:tr>
        <w:tc>
          <w:tcPr>
            <w:tcW w:type="pct" w:w="100%"/>
            <w:shd w:fill="E6F6F1" w:val="clear"/>
            <w:tcMar>
              <w:top w:type="dxa" w:w="160"/>
              <w:left w:type="dxa" w:w="200"/>
              <w:bottom w:type="dxa" w:w="160"/>
              <w:right w:type="dxa" w:w="200"/>
            </w:tcMar>
          </w:tcPr>
          <w:p>
            <w:pPr>
              <w:spacing w:after="60"/>
            </w:pPr>
            <w:r>
              <w:rPr>
                <w:b/>
                <w:bCs/>
                <w:color w:val="0F6A56"/>
                <w:sz w:val="20"/>
                <w:szCs w:val="20"/>
              </w:rPr>
              <w:t xml:space="preserve">Working well</w:t>
            </w:r>
          </w:p>
          <w:p>
            <w:pPr>
              <w:spacing w:after="0"/>
            </w:pPr>
            <w:r>
              <w:rPr>
                <w:color w:val="0F6A56"/>
                <w:sz w:val="20"/>
                <w:szCs w:val="20"/>
              </w:rPr>
              <w:t xml:space="preserve">"Clear All" needs a confirm step ("Clear all items? / Yes, clear / Cancel") — the one other safety net in this step besides discarding a draft.</w:t>
            </w:r>
          </w:p>
        </w:tc>
      </w:tr>
    </w:tbl>
    <w:p>
      <w:pPr>
        <w:spacing w:after="80"/>
      </w:pPr>
    </w:p>
    <w:p>
      <w:pPr>
        <w:pStyle w:val="Heading2"/>
        <w:spacing w:after="120" w:before="320"/>
      </w:pPr>
      <w:r>
        <w:rPr>
          <w:b/>
          <w:bCs/>
          <w:color w:val="0B3F9E"/>
          <w:sz w:val="24"/>
          <w:szCs w:val="24"/>
        </w:rPr>
        <w:t xml:space="preserve">Payment mini-panel  (desktop only, embedded in Step 1)</w:t>
      </w:r>
    </w:p>
    <w:p>
      <w:pPr>
        <w:spacing w:after="160" w:line="320"/>
      </w:pPr>
      <w:r>
        <w:rPr>
          <w:color w:val="10203A"/>
          <w:sz w:val="21"/>
          <w:szCs w:val="21"/>
        </w:rPr>
        <w:t xml:space="preserve">This is the block that effectively replaces the whole separate Payment step on desktop, and it’s the densest part of the page: a 4-way Payment Method toggle (Cash / UPI / Bank / Credit), Amount Received, Settlement Discount (hidden when Credit is selected), a conditional UPI-reference or cheque-reference field, and a Balance Due readout — all inside one card, directly above the closing Total banner and the “Review &amp; Sign” button.</w:t>
      </w:r>
    </w:p>
    <w:p>
      <w:pPr>
        <w:pStyle w:val="Heading2"/>
        <w:spacing w:after="120" w:before="320"/>
      </w:pPr>
      <w:r>
        <w:rPr>
          <w:b/>
          <w:bCs/>
          <w:color w:val="0B3F9E"/>
          <w:sz w:val="24"/>
          <w:szCs w:val="24"/>
        </w:rPr>
        <w:t xml:space="preserve">Totals footer</w:t>
      </w:r>
    </w:p>
    <w:p>
      <w:pPr>
        <w:spacing w:after="160" w:line="320"/>
      </w:pPr>
      <w:r>
        <w:rPr>
          <w:color w:val="10203A"/>
          <w:sz w:val="21"/>
          <w:szCs w:val="21"/>
        </w:rPr>
        <w:t xml:space="preserve">Mobile: a fixed bottom bar showing running total + item count and a “Continue to Payment” button. Desktop: a gradient blue banner inside the right column showing Total (or “Effective Total” struck-through against the discounted figure once a settlement discount is applied), item/bag count, and the “Review &amp; Sign” button.</w:t>
      </w:r>
    </w:p>
    <w:p>
      <w:pPr>
        <w:spacing w:after="60" w:before="120"/>
      </w:pPr>
      <w:r>
        <w:rPr>
          <w:rFonts w:ascii="Consolas" w:cs="Consolas" w:eastAsia="Consolas" w:hAnsi="Consolas"/>
          <w:b/>
          <w:bCs/>
          <w:color w:val="57667C"/>
          <w:sz w:val="16"/>
          <w:szCs w:val="16"/>
        </w:rPr>
        <w:t xml:space="preserve">DESKTOP STEP 1 — WIREFRAME</w:t>
      </w:r>
    </w:p>
    <w:tbl>
      <w:tblPr>
        <w:tblW w:type="dxa" w:w="9360"/>
        <w:tblBorders>
          <w:top w:val="single" w:color="D8E0E9" w:sz="4"/>
          <w:left w:val="single" w:color="D8E0E9" w:sz="4"/>
          <w:bottom w:val="single" w:color="D8E0E9" w:sz="4"/>
          <w:right w:val="single" w:color="D8E0E9" w:sz="4"/>
          <w:insideH w:val="single" w:color="D8E0E9" w:sz="4"/>
          <w:insideV w:val="single" w:color="D8E0E9" w:sz="4"/>
        </w:tblBorders>
      </w:tblPr>
      <w:tblGrid>
        <w:gridCol w:w="4200"/>
        <w:gridCol w:w="5160"/>
      </w:tblGrid>
      <w:tr>
        <w:tc>
          <w:tcPr>
            <w:tcW w:type="dxa" w:w="4200"/>
            <w:shd w:fill="F7F8FA" w:val="clear"/>
            <w:tcMar>
              <w:top w:type="dxa" w:w="160"/>
              <w:left w:type="dxa" w:w="160"/>
              <w:bottom w:type="dxa" w:w="160"/>
              <w:right w:type="dxa" w:w="160"/>
            </w:tcMar>
          </w:tcPr>
          <w:p>
            <w:r>
              <w:rPr>
                <w:color w:val="10203A"/>
                <w:sz w:val="18"/>
                <w:szCs w:val="18"/>
              </w:rPr>
              <w:t xml:space="preserve">① Feed/Medicine tabs + search</w:t>
            </w:r>
          </w:p>
          <w:p>
            <w:pPr>
              <w:spacing w:before="40"/>
            </w:pPr>
            <w:r>
              <w:rPr>
                <w:color w:val="57667C"/>
                <w:sz w:val="18"/>
                <w:szCs w:val="18"/>
              </w:rPr>
              <w:t xml:space="preserve">Product grid or list</w:t>
            </w:r>
          </w:p>
        </w:tc>
        <w:tc>
          <w:tcPr>
            <w:tcW w:type="dxa" w:w="5160"/>
            <w:shd w:fill="F7F8FA" w:val="clear"/>
            <w:tcMar>
              <w:top w:type="dxa" w:w="160"/>
              <w:left w:type="dxa" w:w="160"/>
              <w:bottom w:type="dxa" w:w="160"/>
              <w:right w:type="dxa" w:w="160"/>
            </w:tcMar>
          </w:tcPr>
          <w:p>
            <w:r>
              <w:rPr>
                <w:color w:val="10203A"/>
                <w:sz w:val="18"/>
                <w:szCs w:val="18"/>
              </w:rPr>
              <w:t xml:space="preserve">② Selected items ledger (scrolls)</w:t>
            </w:r>
          </w:p>
          <w:p>
            <w:pPr>
              <w:spacing w:before="60"/>
            </w:pPr>
            <w:r>
              <w:rPr>
                <w:color w:val="57667C"/>
                <w:sz w:val="18"/>
                <w:szCs w:val="18"/>
              </w:rPr>
              <w:t xml:space="preserve">③ Payment method · amount · discount</w:t>
            </w:r>
          </w:p>
          <w:p>
            <w:pPr>
              <w:spacing w:before="60"/>
            </w:pPr>
            <w:r>
              <w:rPr>
                <w:color w:val="57667C"/>
                <w:sz w:val="18"/>
                <w:szCs w:val="18"/>
              </w:rPr>
              <w:t xml:space="preserve">④ Total banner + Review &amp; Sign</w:t>
            </w:r>
          </w:p>
        </w:tc>
      </w:tr>
    </w:tbl>
    <w:p>
      <w:pPr>
        <w:spacing w:after="200" w:before="100"/>
      </w:pPr>
      <w:r>
        <w:rPr>
          <w:rFonts w:ascii="Consolas" w:cs="Consolas" w:eastAsia="Consolas" w:hAnsi="Consolas"/>
          <w:i/>
          <w:iCs/>
          <w:color w:val="57667C"/>
          <w:sz w:val="17"/>
          <w:szCs w:val="17"/>
        </w:rPr>
        <w:t xml:space="preserve">Left column flexes, right column is fixed-width and stacks three tall blocks vertically.</w:t>
      </w:r>
    </w:p>
    <w:p>
      <w:pPr>
        <w:pStyle w:val="Heading1"/>
        <w:spacing w:after="160" w:before="480"/>
      </w:pPr>
      <w:r>
        <w:rPr>
          <w:b/>
          <w:bCs/>
          <w:color w:val="10203A"/>
          <w:sz w:val="30"/>
          <w:szCs w:val="30"/>
        </w:rPr>
        <w:t xml:space="preserve">03 · Step 2 — Payment  (mobile / tablet only)</w:t>
      </w:r>
    </w:p>
    <w:p>
      <w:pPr>
        <w:spacing w:after="160" w:line="320"/>
      </w:pPr>
      <w:r>
        <w:rPr>
          <w:color w:val="10203A"/>
          <w:sz w:val="21"/>
          <w:szCs w:val="21"/>
        </w:rPr>
        <w:t xml:space="preserve">Built by </w:t>
      </w:r>
      <w:r>
        <w:rPr>
          <w:rFonts w:ascii="Consolas" w:cs="Consolas" w:eastAsia="Consolas" w:hAnsi="Consolas"/>
          <w:color w:val="57667C"/>
          <w:sz w:val="18"/>
          <w:szCs w:val="18"/>
        </w:rPr>
        <w:t xml:space="preserve">PaymentStep.tsx</w:t>
      </w:r>
      <w:r>
        <w:rPr>
          <w:color w:val="10203A"/>
          <w:sz w:val="21"/>
          <w:szCs w:val="21"/>
        </w:rPr>
        <w:t xml:space="preserve">. Never reached on desktop — everything here is duplicated into the Step 1 payment mini-panel for desktop instead. Worth knowing if the redesign wants one payment UI instead of two.</w:t>
      </w:r>
    </w:p>
    <w:p>
      <w:pPr>
        <w:pStyle w:val="ListParagraph"/>
        <w:numPr>
          <w:ilvl w:val="0"/>
          <w:numId w:val="2"/>
        </w:numPr>
        <w:spacing w:after="90" w:line="300"/>
      </w:pPr>
      <w:r>
        <w:rPr>
          <w:color w:val="10203A"/>
          <w:sz w:val="21"/>
          <w:szCs w:val="21"/>
        </w:rPr>
        <w:t xml:space="preserve">Total-to-pay header, then a 4-option Payment Method grid (Cash / UPI / Credit — disabled for walk-ins / Other), auto-highlighted for 1.2s on arrival to draw the eye.</w:t>
      </w:r>
    </w:p>
    <w:p>
      <w:pPr>
        <w:pStyle w:val="ListParagraph"/>
        <w:numPr>
          <w:ilvl w:val="0"/>
          <w:numId w:val="2"/>
        </w:numPr>
        <w:spacing w:after="90" w:line="300"/>
      </w:pPr>
      <w:r>
        <w:rPr>
          <w:color w:val="10203A"/>
          <w:sz w:val="21"/>
          <w:szCs w:val="21"/>
        </w:rPr>
        <w:t xml:space="preserve">Amount Received field — auto-fills to the full total when a non-credit method is chosen, 0 when Credit is chosen.</w:t>
      </w:r>
    </w:p>
    <w:p>
      <w:pPr>
        <w:pStyle w:val="ListParagraph"/>
        <w:numPr>
          <w:ilvl w:val="0"/>
          <w:numId w:val="2"/>
        </w:numPr>
        <w:spacing w:after="90" w:line="300"/>
      </w:pPr>
      <w:r>
        <w:rPr>
          <w:color w:val="10203A"/>
          <w:sz w:val="21"/>
          <w:szCs w:val="21"/>
        </w:rPr>
        <w:t xml:space="preserve">Settlement Discount field (optional, hidden for Credit) — reduces amount owed further; re-adjusts Amount Received automatically as long as the dealer hasn’t manually typed a different amount.</w:t>
      </w:r>
    </w:p>
    <w:p>
      <w:pPr>
        <w:pStyle w:val="ListParagraph"/>
        <w:numPr>
          <w:ilvl w:val="0"/>
          <w:numId w:val="2"/>
        </w:numPr>
        <w:spacing w:after="90" w:line="300"/>
      </w:pPr>
      <w:r>
        <w:rPr>
          <w:color w:val="10203A"/>
          <w:sz w:val="21"/>
          <w:szCs w:val="21"/>
        </w:rPr>
        <w:t xml:space="preserve">Conditional UPI reference / cheque-or-transfer reference text field.</w:t>
      </w:r>
    </w:p>
    <w:p>
      <w:pPr>
        <w:pStyle w:val="ListParagraph"/>
        <w:numPr>
          <w:ilvl w:val="0"/>
          <w:numId w:val="2"/>
        </w:numPr>
        <w:spacing w:after="90" w:line="300"/>
      </w:pPr>
      <w:r>
        <w:rPr>
          <w:color w:val="10203A"/>
          <w:sz w:val="21"/>
          <w:szCs w:val="21"/>
        </w:rPr>
        <w:t xml:space="preserve">Collapsible "Bill Summary" card — item-by-item breakdown, subtotal, discounts, GST, total, and (if a farmer is selected) their previous arrears / projected total due / remaining credit in a 2–3 column stat strip.</w:t>
      </w:r>
    </w:p>
    <w:p>
      <w:pPr>
        <w:pStyle w:val="ListParagraph"/>
        <w:numPr>
          <w:ilvl w:val="0"/>
          <w:numId w:val="2"/>
        </w:numPr>
        <w:spacing w:after="90" w:line="300"/>
      </w:pPr>
      <w:r>
        <w:rPr>
          <w:color w:val="10203A"/>
          <w:sz w:val="21"/>
          <w:szCs w:val="21"/>
        </w:rPr>
        <w:t xml:space="preserve">Bottom bar: running balance-due readout + "Review Bill" button.</w:t>
      </w:r>
    </w:p>
    <w:p>
      <w:pPr>
        <w:spacing w:after="120"/>
      </w:pPr>
    </w:p>
    <w:p>
      <w:pPr>
        <w:pStyle w:val="Heading1"/>
        <w:spacing w:after="160" w:before="480"/>
      </w:pPr>
      <w:r>
        <w:rPr>
          <w:b/>
          <w:bCs/>
          <w:color w:val="10203A"/>
          <w:sz w:val="30"/>
          <w:szCs w:val="30"/>
        </w:rPr>
        <w:t xml:space="preserve">04 · Step 3 — Review &amp; Sign</w:t>
      </w:r>
    </w:p>
    <w:p>
      <w:pPr>
        <w:spacing w:after="160" w:line="320"/>
      </w:pPr>
      <w:r>
        <w:rPr>
          <w:color w:val="10203A"/>
          <w:sz w:val="21"/>
          <w:szCs w:val="21"/>
        </w:rPr>
        <w:t xml:space="preserve">Built by </w:t>
      </w:r>
      <w:r>
        <w:rPr>
          <w:rFonts w:ascii="Consolas" w:cs="Consolas" w:eastAsia="Consolas" w:hAnsi="Consolas"/>
          <w:color w:val="57667C"/>
          <w:sz w:val="18"/>
          <w:szCs w:val="18"/>
        </w:rPr>
        <w:t xml:space="preserve">ReviewStep.tsx</w:t>
      </w:r>
      <w:r>
        <w:rPr>
          <w:color w:val="10203A"/>
          <w:sz w:val="21"/>
          <w:szCs w:val="21"/>
        </w:rPr>
        <w:t xml:space="preserve">. This is the one screen that’s genuinely the same layout on every breakpoint — just narrower — which is a useful reference for how the rest of the page could behave.</w:t>
      </w:r>
    </w:p>
    <w:p>
      <w:pPr>
        <w:pStyle w:val="Heading2"/>
        <w:spacing w:after="120" w:before="320"/>
      </w:pPr>
      <w:r>
        <w:rPr>
          <w:b/>
          <w:bCs/>
          <w:color w:val="0B3F9E"/>
          <w:sz w:val="24"/>
          <w:szCs w:val="24"/>
        </w:rPr>
        <w:t xml:space="preserve">Receipt Column Settings</w:t>
      </w:r>
    </w:p>
    <w:p>
      <w:pPr>
        <w:spacing w:after="160" w:line="320"/>
      </w:pPr>
      <w:r>
        <w:rPr>
          <w:color w:val="10203A"/>
          <w:sz w:val="21"/>
          <w:szCs w:val="21"/>
        </w:rPr>
        <w:t xml:space="preserve">A collapsible panel of checkboxes controlling what prints/shows on the receipt preview below: Unit Rate, Item Discount, Item GST (only if GST is on), HSN Code, Expiry Date, MRP, Customer Signature. Choices persist in </w:t>
      </w:r>
      <w:r>
        <w:rPr>
          <w:rFonts w:ascii="Consolas" w:cs="Consolas" w:eastAsia="Consolas" w:hAnsi="Consolas"/>
          <w:color w:val="57667C"/>
          <w:sz w:val="18"/>
          <w:szCs w:val="18"/>
        </w:rPr>
        <w:t xml:space="preserve">localStorage</w:t>
      </w:r>
      <w:r>
        <w:rPr>
          <w:color w:val="10203A"/>
          <w:sz w:val="21"/>
          <w:szCs w:val="21"/>
        </w:rPr>
        <w:t xml:space="preserve"> per device.</w:t>
      </w:r>
    </w:p>
    <w:p>
      <w:pPr>
        <w:pStyle w:val="Heading2"/>
        <w:spacing w:after="120" w:before="320"/>
      </w:pPr>
      <w:r>
        <w:rPr>
          <w:b/>
          <w:bCs/>
          <w:color w:val="0B3F9E"/>
          <w:sz w:val="24"/>
          <w:szCs w:val="24"/>
        </w:rPr>
        <w:t xml:space="preserve">Invoice preview card</w:t>
      </w:r>
    </w:p>
    <w:p>
      <w:pPr>
        <w:spacing w:after="160" w:line="320"/>
      </w:pPr>
      <w:r>
        <w:rPr>
          <w:color w:val="10203A"/>
          <w:sz w:val="21"/>
          <w:szCs w:val="21"/>
        </w:rPr>
        <w:t xml:space="preserve">Header shows “Tax Invoice” / “Bill of Supply” / “Estimate” depending on GST + estimate mode, bill date, and “Billed To” with the farmer name. Below that, an itemized table (columns driven by the settings above) followed by a totals block: Subtotal, an optional green “🏷️ Farmer Savings” line (MRP vs actual price paid), CGST/SGST split when GST is on, Discount, Settlement Discount, the grand Total/Effective Total, Payment Mode, Amount Paid, and Balance Due.</w:t>
      </w:r>
    </w:p>
    <w:p>
      <w:pPr>
        <w:pStyle w:val="Heading2"/>
        <w:spacing w:after="120" w:before="320"/>
      </w:pPr>
      <w:r>
        <w:rPr>
          <w:b/>
          <w:bCs/>
          <w:color w:val="0B3F9E"/>
          <w:sz w:val="24"/>
          <w:szCs w:val="24"/>
        </w:rPr>
        <w:t xml:space="preserve">Signing</w:t>
      </w:r>
    </w:p>
    <w:p>
      <w:pPr>
        <w:spacing w:after="160" w:line="320"/>
      </w:pPr>
      <w:r>
        <w:rPr>
          <w:color w:val="10203A"/>
          <w:sz w:val="21"/>
          <w:szCs w:val="21"/>
        </w:rPr>
        <w:t xml:space="preserve">Three distinct verification paths depending on dealer settings:</w:t>
      </w:r>
    </w:p>
    <w:tbl>
      <w:tblPr>
        <w:tblW w:type="dxa" w:w="9360"/>
        <w:tblBorders>
          <w:top w:val="single" w:color="D8E0E9" w:sz="2"/>
          <w:left w:val="none" w:color="D8E0E9" w:sz="0"/>
          <w:bottom w:val="single" w:color="D8E0E9" w:sz="2"/>
          <w:right w:val="none" w:color="D8E0E9" w:sz="0"/>
          <w:insideH w:val="single" w:color="D8E0E9" w:sz="2"/>
          <w:insideV w:val="none" w:color="D8E0E9" w:sz="0"/>
        </w:tblBorders>
      </w:tblPr>
      <w:tblGrid>
        <w:gridCol w:w="2600"/>
        <w:gridCol w:w="6760"/>
      </w:tblGrid>
      <w:tr>
        <w:trPr>
          <w:tblHeader/>
        </w:trPr>
        <w:tc>
          <w:tcPr>
            <w:tcW w:type="dxa" w:w="260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Mode</w:t>
            </w:r>
          </w:p>
        </w:tc>
        <w:tc>
          <w:tcPr>
            <w:tcW w:type="dxa" w:w="6760"/>
            <w:shd w:fill="F3F5F8" w:val="clear"/>
            <w:tcMar>
              <w:top w:type="dxa" w:w="80"/>
              <w:left w:type="dxa" w:w="100"/>
              <w:bottom w:type="dxa" w:w="80"/>
              <w:right w:type="dxa" w:w="100"/>
            </w:tcMar>
          </w:tcPr>
          <w:p>
            <w:r>
              <w:rPr>
                <w:rFonts w:ascii="Consolas" w:cs="Consolas" w:eastAsia="Consolas" w:hAnsi="Consolas"/>
                <w:b/>
                <w:bCs/>
                <w:caps/>
                <w:color w:val="57667C"/>
                <w:sz w:val="16"/>
                <w:szCs w:val="16"/>
              </w:rPr>
              <w:t xml:space="preserve">What the dealer sees</w:t>
            </w:r>
          </w:p>
        </w:tc>
      </w:tr>
      <w:tr>
        <w:tc>
          <w:tcPr>
            <w:tcW w:type="dxa" w:w="2600"/>
            <w:tcMar>
              <w:top w:type="dxa" w:w="90"/>
              <w:left w:type="dxa" w:w="100"/>
              <w:bottom w:type="dxa" w:w="90"/>
              <w:right w:type="dxa" w:w="100"/>
            </w:tcMar>
          </w:tcPr>
          <w:p>
            <w:pPr>
              <w:spacing w:line="280"/>
            </w:pPr>
            <w:r>
              <w:rPr>
                <w:color w:val="10203A"/>
                <w:sz w:val="19"/>
                <w:szCs w:val="19"/>
              </w:rPr>
              <w:t xml:space="preserve">Signature enabled, mobile</w:t>
            </w:r>
          </w:p>
        </w:tc>
        <w:tc>
          <w:tcPr>
            <w:tcW w:type="dxa" w:w="6760"/>
            <w:tcMar>
              <w:top w:type="dxa" w:w="90"/>
              <w:left w:type="dxa" w:w="100"/>
              <w:bottom w:type="dxa" w:w="90"/>
              <w:right w:type="dxa" w:w="100"/>
            </w:tcMar>
          </w:tcPr>
          <w:p>
            <w:pPr>
              <w:spacing w:line="280"/>
            </w:pPr>
            <w:r>
              <w:rPr>
                <w:color w:val="10203A"/>
                <w:sz w:val="19"/>
                <w:szCs w:val="19"/>
              </w:rPr>
              <w:t xml:space="preserve">"Sign Now" / "Verify Later" toggle. Sign Now shows a signature pad; Verify Later shows an explainer that a 4-digit delivery PIN will be generated instead.</w:t>
            </w:r>
          </w:p>
        </w:tc>
      </w:tr>
      <w:tr>
        <w:tc>
          <w:tcPr>
            <w:tcW w:type="dxa" w:w="2600"/>
            <w:tcMar>
              <w:top w:type="dxa" w:w="90"/>
              <w:left w:type="dxa" w:w="100"/>
              <w:bottom w:type="dxa" w:w="90"/>
              <w:right w:type="dxa" w:w="100"/>
            </w:tcMar>
          </w:tcPr>
          <w:p>
            <w:pPr>
              <w:spacing w:line="280"/>
            </w:pPr>
            <w:r>
              <w:rPr>
                <w:color w:val="10203A"/>
                <w:sz w:val="19"/>
                <w:szCs w:val="19"/>
              </w:rPr>
              <w:t xml:space="preserve">Signature disabled</w:t>
            </w:r>
          </w:p>
        </w:tc>
        <w:tc>
          <w:tcPr>
            <w:tcW w:type="dxa" w:w="6760"/>
            <w:tcMar>
              <w:top w:type="dxa" w:w="90"/>
              <w:left w:type="dxa" w:w="100"/>
              <w:bottom w:type="dxa" w:w="90"/>
              <w:right w:type="dxa" w:w="100"/>
            </w:tcMar>
          </w:tcPr>
          <w:p>
            <w:pPr>
              <w:spacing w:line="280"/>
            </w:pPr>
            <w:r>
              <w:rPr>
                <w:color w:val="10203A"/>
                <w:sz w:val="19"/>
                <w:szCs w:val="19"/>
              </w:rPr>
              <w:t xml:space="preserve">A single "Signed &amp; Verified in person" checkbox — checked by default. Unchecking it also falls back to the PIN flow.</w:t>
            </w:r>
          </w:p>
        </w:tc>
      </w:tr>
      <w:tr>
        <w:tc>
          <w:tcPr>
            <w:tcW w:type="dxa" w:w="2600"/>
            <w:tcMar>
              <w:top w:type="dxa" w:w="90"/>
              <w:left w:type="dxa" w:w="100"/>
              <w:bottom w:type="dxa" w:w="90"/>
              <w:right w:type="dxa" w:w="100"/>
            </w:tcMar>
          </w:tcPr>
          <w:p>
            <w:pPr>
              <w:spacing w:line="280"/>
            </w:pPr>
            <w:r>
              <w:rPr>
                <w:color w:val="10203A"/>
                <w:sz w:val="19"/>
                <w:szCs w:val="19"/>
              </w:rPr>
              <w:t xml:space="preserve">Required vs optional</w:t>
            </w:r>
          </w:p>
        </w:tc>
        <w:tc>
          <w:tcPr>
            <w:tcW w:type="dxa" w:w="6760"/>
            <w:tcMar>
              <w:top w:type="dxa" w:w="90"/>
              <w:left w:type="dxa" w:w="100"/>
              <w:bottom w:type="dxa" w:w="90"/>
              <w:right w:type="dxa" w:w="100"/>
            </w:tcMar>
          </w:tcPr>
          <w:p>
            <w:pPr>
              <w:spacing w:line="280"/>
            </w:pPr>
            <w:r>
              <w:rPr>
                <w:color w:val="10203A"/>
                <w:sz w:val="19"/>
                <w:szCs w:val="19"/>
              </w:rPr>
              <w:t xml:space="preserve">Signature is treated as required whenever payment is Credit or there’s a balance due — not on fully-paid cash sales.</w:t>
            </w:r>
          </w:p>
        </w:tc>
      </w:tr>
    </w:tbl>
    <w:p>
      <w:pPr>
        <w:pStyle w:val="Heading2"/>
        <w:spacing w:after="120" w:before="320"/>
      </w:pPr>
      <w:r>
        <w:rPr>
          <w:b/>
          <w:bCs/>
          <w:color w:val="0B3F9E"/>
          <w:sz w:val="24"/>
          <w:szCs w:val="24"/>
        </w:rPr>
        <w:t xml:space="preserve">Save button &amp; warnings</w:t>
      </w:r>
    </w:p>
    <w:p>
      <w:pPr>
        <w:spacing w:after="160" w:line="320"/>
      </w:pPr>
      <w:r>
        <w:rPr>
          <w:color w:val="10203A"/>
          <w:sz w:val="21"/>
          <w:szCs w:val="21"/>
        </w:rPr>
        <w:t xml:space="preserve">Label changes with context: “Sign &amp; Save” / “Save Estimate” / “Save &amp; Verify” / “Save with PIN” / “Save &amp; Verify Later”. Two blocking modals can appear before it actually saves:</w:t>
      </w:r>
    </w:p>
    <w:p>
      <w:pPr>
        <w:pStyle w:val="ListParagraph"/>
        <w:numPr>
          <w:ilvl w:val="0"/>
          <w:numId w:val="2"/>
        </w:numPr>
        <w:spacing w:after="90" w:line="300"/>
      </w:pPr>
      <w:r>
        <w:rPr>
          <w:b/>
          <w:bCs/>
          <w:color w:val="10203A"/>
          <w:sz w:val="21"/>
          <w:szCs w:val="21"/>
        </w:rPr>
        <w:t xml:space="preserve">Possible Duplicate Bill</w:t>
      </w:r>
      <w:r>
        <w:rPr>
          <w:color w:val="10203A"/>
          <w:sz w:val="21"/>
          <w:szCs w:val="21"/>
        </w:rPr>
        <w:t xml:space="preserve"> — same farmer already billed today for the same amount. Cancel / Yes, Create Another.</w:t>
      </w:r>
    </w:p>
    <w:p>
      <w:pPr>
        <w:pStyle w:val="ListParagraph"/>
        <w:numPr>
          <w:ilvl w:val="0"/>
          <w:numId w:val="2"/>
        </w:numPr>
        <w:spacing w:after="90" w:line="300"/>
      </w:pPr>
      <w:r>
        <w:rPr>
          <w:b/>
          <w:bCs/>
          <w:color w:val="10203A"/>
          <w:sz w:val="21"/>
          <w:szCs w:val="21"/>
        </w:rPr>
        <w:t xml:space="preserve">Over Credit Limit</w:t>
      </w:r>
      <w:r>
        <w:rPr>
          <w:color w:val="10203A"/>
          <w:sz w:val="21"/>
          <w:szCs w:val="21"/>
        </w:rPr>
        <w:t xml:space="preserve"> — this bill would push the farmer’s outstanding balance past their credit limit. Cancel / Bill Anyway.</w:t>
      </w:r>
    </w:p>
    <w:p>
      <w:pPr>
        <w:spacing w:after="120"/>
      </w:pPr>
    </w:p>
    <w:p>
      <w:pPr>
        <w:pStyle w:val="Heading1"/>
        <w:spacing w:after="160" w:before="480"/>
      </w:pPr>
      <w:r>
        <w:rPr>
          <w:b/>
          <w:bCs/>
          <w:color w:val="10203A"/>
          <w:sz w:val="30"/>
          <w:szCs w:val="30"/>
        </w:rPr>
        <w:t xml:space="preserve">05 · Success — Checkout Success modal</w:t>
      </w:r>
    </w:p>
    <w:p>
      <w:pPr>
        <w:spacing w:after="160" w:line="320"/>
      </w:pPr>
      <w:r>
        <w:rPr>
          <w:rFonts w:ascii="Consolas" w:cs="Consolas" w:eastAsia="Consolas" w:hAnsi="Consolas"/>
          <w:color w:val="57667C"/>
          <w:sz w:val="18"/>
          <w:szCs w:val="18"/>
        </w:rPr>
        <w:t xml:space="preserve">CheckoutSuccessModal.tsx</w:t>
      </w:r>
      <w:r>
        <w:rPr>
          <w:color w:val="10203A"/>
          <w:sz w:val="21"/>
          <w:szCs w:val="21"/>
        </w:rPr>
        <w:t xml:space="preserve"> — shown immediately after saving, before returning to a fresh draft.</w:t>
      </w:r>
    </w:p>
    <w:p>
      <w:pPr>
        <w:pStyle w:val="ListParagraph"/>
        <w:numPr>
          <w:ilvl w:val="0"/>
          <w:numId w:val="2"/>
        </w:numPr>
        <w:spacing w:after="90" w:line="300"/>
      </w:pPr>
      <w:r>
        <w:rPr>
          <w:color w:val="10203A"/>
          <w:sz w:val="21"/>
          <w:szCs w:val="21"/>
        </w:rPr>
        <w:t xml:space="preserve">Animated check (or a cloud-off icon + amber styling if the bill was saved offline and hasn’t synced yet), invoice/estimate number.</w:t>
      </w:r>
    </w:p>
    <w:p>
      <w:pPr>
        <w:pStyle w:val="ListParagraph"/>
        <w:numPr>
          <w:ilvl w:val="0"/>
          <w:numId w:val="2"/>
        </w:numPr>
        <w:spacing w:after="90" w:line="300"/>
      </w:pPr>
      <w:r>
        <w:rPr>
          <w:color w:val="10203A"/>
          <w:sz w:val="21"/>
          <w:szCs w:val="21"/>
        </w:rPr>
        <w:t xml:space="preserve">Conditional banners: offline sync note; "Not verified yet" note when the PIN flow was used.</w:t>
      </w:r>
    </w:p>
    <w:p>
      <w:pPr>
        <w:pStyle w:val="ListParagraph"/>
        <w:numPr>
          <w:ilvl w:val="0"/>
          <w:numId w:val="2"/>
        </w:numPr>
        <w:spacing w:after="90" w:line="300"/>
      </w:pPr>
      <w:r>
        <w:rPr>
          <w:color w:val="10203A"/>
          <w:sz w:val="21"/>
          <w:szCs w:val="21"/>
        </w:rPr>
        <w:t xml:space="preserve">Receipt overview card: customer, total, amount paid, and either Balance Due or a "Fully Paid" badge.</w:t>
      </w:r>
    </w:p>
    <w:p>
      <w:pPr>
        <w:pStyle w:val="ListParagraph"/>
        <w:numPr>
          <w:ilvl w:val="0"/>
          <w:numId w:val="2"/>
        </w:numPr>
        <w:spacing w:after="90" w:line="300"/>
      </w:pPr>
      <w:r>
        <w:rPr>
          <w:color w:val="10203A"/>
          <w:sz w:val="21"/>
          <w:szCs w:val="21"/>
        </w:rPr>
        <w:t xml:space="preserve">"View Details" link, then two side-by-side buttons: Print and a WhatsApp share button whose state machine is: not sent → "Share on WhatsApp", sending → spinner, sent → green "Sent" badge, failed → "Failed — Retry" (or "Limit exceeded" if the WhatsApp quota is used up). Hidden entirely for offline bills, since there’s no server copy to share yet.</w:t>
      </w:r>
    </w:p>
    <w:p>
      <w:pPr>
        <w:pStyle w:val="ListParagraph"/>
        <w:numPr>
          <w:ilvl w:val="0"/>
          <w:numId w:val="2"/>
        </w:numPr>
        <w:spacing w:after="90" w:line="300"/>
      </w:pPr>
      <w:r>
        <w:rPr>
          <w:color w:val="10203A"/>
          <w:sz w:val="21"/>
          <w:szCs w:val="21"/>
        </w:rPr>
        <w:t xml:space="preserve">Primary "Start New Bill" button — clears success state and returns to a blank Items step.</w:t>
      </w:r>
    </w:p>
    <w:p>
      <w:pPr>
        <w:spacing w:after="120"/>
      </w:pPr>
    </w:p>
    <w:p>
      <w:pPr>
        <w:pStyle w:val="Heading1"/>
        <w:spacing w:after="160" w:before="480"/>
      </w:pPr>
      <w:r>
        <w:rPr>
          <w:b/>
          <w:bCs/>
          <w:color w:val="10203A"/>
          <w:sz w:val="30"/>
          <w:szCs w:val="30"/>
        </w:rPr>
        <w:t xml:space="preserve">06 · Supporting modals</w:t>
      </w:r>
    </w:p>
    <w:p>
      <w:pPr>
        <w:pStyle w:val="Heading2"/>
        <w:spacing w:after="120" w:before="320"/>
      </w:pPr>
      <w:r>
        <w:rPr>
          <w:b/>
          <w:bCs/>
          <w:color w:val="0B3F9E"/>
          <w:sz w:val="24"/>
          <w:szCs w:val="24"/>
        </w:rPr>
        <w:t xml:space="preserve">Select Customer  (FarmerSelector — mobile "Change" button)</w:t>
      </w:r>
    </w:p>
    <w:p>
      <w:pPr>
        <w:spacing w:after="160" w:line="320"/>
      </w:pPr>
      <w:r>
        <w:rPr>
          <w:color w:val="10203A"/>
          <w:sz w:val="21"/>
          <w:szCs w:val="21"/>
        </w:rPr>
        <w:t xml:space="preserve">Search box, then two tiles (Walk-in Customer / Add New Farmer) above a scrollable farmer list (name, village/phone, credit-due badge). Picking a farmer who’s already over their credit limit fires a toast warning immediately, before any items are even added.</w:t>
      </w:r>
    </w:p>
    <w:p>
      <w:pPr>
        <w:pStyle w:val="Heading2"/>
        <w:spacing w:after="120" w:before="320"/>
      </w:pPr>
      <w:r>
        <w:rPr>
          <w:b/>
          <w:bCs/>
          <w:color w:val="0B3F9E"/>
          <w:sz w:val="24"/>
          <w:szCs w:val="24"/>
        </w:rPr>
        <w:t xml:space="preserve">Add New Farmer</w:t>
      </w:r>
    </w:p>
    <w:p>
      <w:pPr>
        <w:spacing w:after="160" w:line="320"/>
      </w:pPr>
      <w:r>
        <w:rPr>
          <w:color w:val="10203A"/>
          <w:sz w:val="21"/>
          <w:szCs w:val="21"/>
        </w:rPr>
        <w:t xml:space="preserve">Fields: Name*, Mobile Number, Village, Credit Limit (₹). Blocked with an inline message if the subscription is expired or the plan’s farmer limit is reached.</w:t>
      </w:r>
    </w:p>
    <w:p>
      <w:pPr>
        <w:pStyle w:val="Heading2"/>
        <w:spacing w:after="120" w:before="320"/>
      </w:pPr>
      <w:r>
        <w:rPr>
          <w:b/>
          <w:bCs/>
          <w:color w:val="0B3F9E"/>
          <w:sz w:val="24"/>
          <w:szCs w:val="24"/>
        </w:rPr>
        <w:t xml:space="preserve">Walk-in Customer Details</w:t>
      </w:r>
    </w:p>
    <w:p>
      <w:pPr>
        <w:spacing w:after="160" w:line="320"/>
      </w:pPr>
      <w:r>
        <w:rPr>
          <w:color w:val="10203A"/>
          <w:sz w:val="21"/>
          <w:szCs w:val="21"/>
        </w:rPr>
        <w:t xml:space="preserve">Lighter version of the same form — Name*, Mobile Number, Village only (no credit limit; walk-ins default to 0). Marks the record </w:t>
      </w:r>
      <w:r>
        <w:rPr>
          <w:rFonts w:ascii="Consolas" w:cs="Consolas" w:eastAsia="Consolas" w:hAnsi="Consolas"/>
          <w:color w:val="57667C"/>
          <w:sz w:val="18"/>
          <w:szCs w:val="18"/>
        </w:rPr>
        <w:t xml:space="preserve">is_walk_in</w:t>
      </w:r>
      <w:r>
        <w:rPr>
          <w:color w:val="10203A"/>
          <w:sz w:val="21"/>
          <w:szCs w:val="21"/>
        </w:rPr>
        <w:t xml:space="preserve"> so it’s distinguishable from a regular farmer later.</w:t>
      </w:r>
    </w:p>
    <w:p>
      <w:pPr>
        <w:pStyle w:val="Heading2"/>
        <w:spacing w:after="120" w:before="320"/>
      </w:pPr>
      <w:r>
        <w:rPr>
          <w:b/>
          <w:bCs/>
          <w:color w:val="0B3F9E"/>
          <w:sz w:val="24"/>
          <w:szCs w:val="24"/>
        </w:rPr>
        <w:t xml:space="preserve">Payments / Returns  (FarmerActionModal — desktop toolbar only)</w:t>
      </w:r>
    </w:p>
    <w:p>
      <w:pPr>
        <w:spacing w:after="160" w:line="320"/>
      </w:pPr>
      <w:r>
        <w:rPr>
          <w:color w:val="10203A"/>
          <w:sz w:val="21"/>
          <w:szCs w:val="21"/>
        </w:rPr>
        <w:t xml:space="preserve">One modal, two modes. </w:t>
      </w:r>
      <w:r>
        <w:rPr>
          <w:b/>
          <w:bCs/>
          <w:color w:val="10203A"/>
          <w:sz w:val="21"/>
          <w:szCs w:val="21"/>
        </w:rPr>
        <w:t xml:space="preserve">Payments</w:t>
      </w:r>
      <w:r>
        <w:rPr>
          <w:color w:val="10203A"/>
          <w:sz w:val="21"/>
          <w:szCs w:val="21"/>
        </w:rPr>
        <w:t xml:space="preserve">: search a farmer, selecting one opens the existing Collect Payment modal directly. </w:t>
      </w:r>
      <w:r>
        <w:rPr>
          <w:b/>
          <w:bCs/>
          <w:color w:val="10203A"/>
          <w:sz w:val="21"/>
          <w:szCs w:val="21"/>
        </w:rPr>
        <w:t xml:space="preserve">Returns</w:t>
      </w:r>
      <w:r>
        <w:rPr>
          <w:color w:val="10203A"/>
          <w:sz w:val="21"/>
          <w:szCs w:val="21"/>
        </w:rPr>
        <w:t xml:space="preserve">: search a farmer, then build a return — date range of bills to search, add products with quantity + an "unmatched price" fallback, optional note, then "Review return" shows a computed preview (with a farmer-credit vs cash-refund choice) before "Confirm".</w:t>
      </w:r>
    </w:p>
    <w:p>
      <w:pPr>
        <w:spacing w:after="120"/>
      </w:pPr>
    </w:p>
    <w:p>
      <w:pPr>
        <w:pStyle w:val="Heading1"/>
        <w:spacing w:after="160" w:before="480"/>
      </w:pPr>
      <w:r>
        <w:rPr>
          <w:b/>
          <w:bCs/>
          <w:color w:val="10203A"/>
          <w:sz w:val="30"/>
          <w:szCs w:val="30"/>
        </w:rPr>
        <w:t xml:space="preserve">07 · Diagnosis — why the desktop screen breaks on small laptops</w:t>
      </w:r>
    </w:p>
    <w:p>
      <w:pPr>
        <w:spacing w:after="160" w:line="320"/>
      </w:pPr>
      <w:r>
        <w:rPr>
          <w:color w:val="10203A"/>
          <w:sz w:val="21"/>
          <w:szCs w:val="21"/>
        </w:rPr>
        <w:t xml:space="preserve">This is the concrete, in-code explanation for the complaint that started this doc: on a smaller laptop panel, the right side is all payment fields and the item list looks unscrollable.</w:t>
      </w:r>
    </w:p>
    <w:p>
      <w:pPr>
        <w:spacing w:after="40" w:before="100"/>
      </w:pPr>
      <w:r>
        <w:rPr>
          <w:rFonts w:ascii="Consolas" w:cs="Consolas" w:eastAsia="Consolas" w:hAnsi="Consolas"/>
          <w:b/>
          <w:bCs/>
          <w:color w:val="57667C"/>
          <w:sz w:val="16"/>
          <w:szCs w:val="16"/>
        </w:rPr>
        <w:t xml:space="preserve">13" LAPTOP, BROWSER MAXIMIZED  —  1366 × 768</w:t>
      </w:r>
    </w:p>
    <w:tbl>
      <w:tblPr>
        <w:tblW w:type="dxa" w:w="9360"/>
        <w:tblBorders>
          <w:top w:val="single" w:color="D8E0E9" w:sz="4"/>
          <w:left w:val="single" w:color="D8E0E9" w:sz="4"/>
          <w:bottom w:val="single" w:color="D8E0E9" w:sz="4"/>
          <w:right w:val="single" w:color="D8E0E9" w:sz="4"/>
          <w:insideH w:val="none" w:color="D8E0E9" w:sz="0"/>
          <w:insideV w:val="single" w:color="D8E0E9" w:sz="4"/>
        </w:tblBorders>
      </w:tblPr>
      <w:tblGrid>
        <w:gridCol w:w="3741"/>
        <w:gridCol w:w="5619"/>
      </w:tblGrid>
      <w:tr>
        <w:tc>
          <w:tcPr>
            <w:tcW w:type="dxa" w:w="3741"/>
            <w:shd w:fill="E4EDFC" w:val="clear"/>
            <w:tcMar>
              <w:top w:type="dxa" w:w="220"/>
              <w:left w:type="dxa" w:w="100"/>
              <w:bottom w:type="dxa" w:w="220"/>
              <w:right w:type="dxa" w:w="100"/>
            </w:tcMar>
            <w:vAlign w:val="center"/>
          </w:tcPr>
          <w:p>
            <w:pPr>
              <w:jc w:val="center"/>
            </w:pPr>
            <w:r>
              <w:rPr>
                <w:b/>
                <w:bCs/>
                <w:color w:val="0B3F9E"/>
                <w:sz w:val="18"/>
                <w:szCs w:val="18"/>
              </w:rPr>
              <w:t xml:space="preserve">Catalog column</w:t>
            </w:r>
          </w:p>
          <w:p>
            <w:pPr>
              <w:jc w:val="center"/>
            </w:pPr>
            <w:r>
              <w:rPr>
                <w:rFonts w:ascii="Consolas" w:cs="Consolas" w:eastAsia="Consolas" w:hAnsi="Consolas"/>
                <w:color w:val="0B3F9E"/>
                <w:sz w:val="16"/>
                <w:szCs w:val="16"/>
              </w:rPr>
              <w:t xml:space="preserve">flexes — ~546px</w:t>
            </w:r>
          </w:p>
        </w:tc>
        <w:tc>
          <w:tcPr>
            <w:tcW w:type="dxa" w:w="5619"/>
            <w:shd w:fill="FDF1E2" w:val="clear"/>
            <w:tcMar>
              <w:top w:type="dxa" w:w="220"/>
              <w:left w:type="dxa" w:w="100"/>
              <w:bottom w:type="dxa" w:w="220"/>
              <w:right w:type="dxa" w:w="100"/>
            </w:tcMar>
            <w:vAlign w:val="center"/>
          </w:tcPr>
          <w:p>
            <w:pPr>
              <w:jc w:val="center"/>
            </w:pPr>
            <w:r>
              <w:rPr>
                <w:b/>
                <w:bCs/>
                <w:color w:val="92400E"/>
                <w:sz w:val="18"/>
                <w:szCs w:val="18"/>
              </w:rPr>
              <w:t xml:space="preserve">Cart + payment column</w:t>
            </w:r>
          </w:p>
          <w:p>
            <w:pPr>
              <w:jc w:val="center"/>
            </w:pPr>
            <w:r>
              <w:rPr>
                <w:rFonts w:ascii="Consolas" w:cs="Consolas" w:eastAsia="Consolas" w:hAnsi="Consolas"/>
                <w:color w:val="92400E"/>
                <w:sz w:val="16"/>
                <w:szCs w:val="16"/>
              </w:rPr>
              <w:t xml:space="preserve">fixed at 820px</w:t>
            </w:r>
          </w:p>
        </w:tc>
      </w:tr>
    </w:tbl>
    <w:p>
      <w:pPr>
        <w:spacing w:after="40" w:before="100"/>
      </w:pPr>
      <w:r>
        <w:rPr>
          <w:rFonts w:ascii="Consolas" w:cs="Consolas" w:eastAsia="Consolas" w:hAnsi="Consolas"/>
          <w:b/>
          <w:bCs/>
          <w:color w:val="57667C"/>
          <w:sz w:val="16"/>
          <w:szCs w:val="16"/>
        </w:rPr>
        <w:t xml:space="preserve">27" DESKTOP MONITOR  —  1920 × 1080</w:t>
      </w:r>
    </w:p>
    <w:tbl>
      <w:tblPr>
        <w:tblW w:type="dxa" w:w="9360"/>
        <w:tblBorders>
          <w:top w:val="single" w:color="D8E0E9" w:sz="4"/>
          <w:left w:val="single" w:color="D8E0E9" w:sz="4"/>
          <w:bottom w:val="single" w:color="D8E0E9" w:sz="4"/>
          <w:right w:val="single" w:color="D8E0E9" w:sz="4"/>
          <w:insideH w:val="none" w:color="D8E0E9" w:sz="0"/>
          <w:insideV w:val="single" w:color="D8E0E9" w:sz="4"/>
        </w:tblBorders>
      </w:tblPr>
      <w:tblGrid>
        <w:gridCol w:w="5363"/>
        <w:gridCol w:w="3997"/>
      </w:tblGrid>
      <w:tr>
        <w:tc>
          <w:tcPr>
            <w:tcW w:type="dxa" w:w="5363"/>
            <w:shd w:fill="E4EDFC" w:val="clear"/>
            <w:tcMar>
              <w:top w:type="dxa" w:w="220"/>
              <w:left w:type="dxa" w:w="100"/>
              <w:bottom w:type="dxa" w:w="220"/>
              <w:right w:type="dxa" w:w="100"/>
            </w:tcMar>
            <w:vAlign w:val="center"/>
          </w:tcPr>
          <w:p>
            <w:pPr>
              <w:jc w:val="center"/>
            </w:pPr>
            <w:r>
              <w:rPr>
                <w:b/>
                <w:bCs/>
                <w:color w:val="0B3F9E"/>
                <w:sz w:val="18"/>
                <w:szCs w:val="18"/>
              </w:rPr>
              <w:t xml:space="preserve">Catalog column</w:t>
            </w:r>
          </w:p>
          <w:p>
            <w:pPr>
              <w:jc w:val="center"/>
            </w:pPr>
            <w:r>
              <w:rPr>
                <w:rFonts w:ascii="Consolas" w:cs="Consolas" w:eastAsia="Consolas" w:hAnsi="Consolas"/>
                <w:color w:val="0B3F9E"/>
                <w:sz w:val="16"/>
                <w:szCs w:val="16"/>
              </w:rPr>
              <w:t xml:space="preserve">flexes — ~1100px</w:t>
            </w:r>
          </w:p>
        </w:tc>
        <w:tc>
          <w:tcPr>
            <w:tcW w:type="dxa" w:w="3997"/>
            <w:shd w:fill="EEF1F6" w:val="clear"/>
            <w:tcMar>
              <w:top w:type="dxa" w:w="220"/>
              <w:left w:type="dxa" w:w="100"/>
              <w:bottom w:type="dxa" w:w="220"/>
              <w:right w:type="dxa" w:w="100"/>
            </w:tcMar>
            <w:vAlign w:val="center"/>
          </w:tcPr>
          <w:p>
            <w:pPr>
              <w:jc w:val="center"/>
            </w:pPr>
            <w:r>
              <w:rPr>
                <w:b/>
                <w:bCs/>
                <w:color w:val="57667C"/>
                <w:sz w:val="18"/>
                <w:szCs w:val="18"/>
              </w:rPr>
              <w:t xml:space="preserve">Cart + payment column</w:t>
            </w:r>
          </w:p>
          <w:p>
            <w:pPr>
              <w:jc w:val="center"/>
            </w:pPr>
            <w:r>
              <w:rPr>
                <w:rFonts w:ascii="Consolas" w:cs="Consolas" w:eastAsia="Consolas" w:hAnsi="Consolas"/>
                <w:color w:val="57667C"/>
                <w:sz w:val="16"/>
                <w:szCs w:val="16"/>
              </w:rPr>
              <w:t xml:space="preserve">fixed at 820px</w:t>
            </w:r>
          </w:p>
        </w:tc>
      </w:tr>
    </w:tbl>
    <w:p>
      <w:pPr>
        <w:spacing w:after="240" w:before="100"/>
      </w:pPr>
      <w:r>
        <w:rPr>
          <w:rFonts w:ascii="Consolas" w:cs="Consolas" w:eastAsia="Consolas" w:hAnsi="Consolas"/>
          <w:i/>
          <w:iCs/>
          <w:color w:val="57667C"/>
          <w:sz w:val="17"/>
          <w:szCs w:val="17"/>
        </w:rPr>
        <w:t xml:space="preserve">Same component, same fixed 820px right column, at two real screen widths. It was clearly proportioned for the second one.</w:t>
      </w:r>
    </w:p>
    <w:p>
      <w:pPr>
        <w:pStyle w:val="Heading2"/>
        <w:spacing w:after="120" w:before="320"/>
      </w:pPr>
      <w:r>
        <w:rPr>
          <w:b/>
          <w:bCs/>
          <w:color w:val="0B3F9E"/>
          <w:sz w:val="24"/>
          <w:szCs w:val="24"/>
        </w:rPr>
        <w:t xml:space="preserve">Root cause 1 — the right column is a fixed pixel width</w:t>
      </w:r>
    </w:p>
    <w:p>
      <w:pPr>
        <w:spacing w:after="160" w:line="320"/>
      </w:pPr>
      <w:r>
        <w:rPr>
          <w:color w:val="10203A"/>
          <w:sz w:val="21"/>
          <w:szCs w:val="21"/>
        </w:rPr>
        <w:t xml:space="preserve">In </w:t>
      </w:r>
      <w:r>
        <w:rPr>
          <w:rFonts w:ascii="Consolas" w:cs="Consolas" w:eastAsia="Consolas" w:hAnsi="Consolas"/>
          <w:color w:val="57667C"/>
          <w:sz w:val="18"/>
          <w:szCs w:val="18"/>
        </w:rPr>
        <w:t xml:space="preserve">ProductSelector.tsx</w:t>
      </w:r>
      <w:r>
        <w:rPr>
          <w:color w:val="10203A"/>
          <w:sz w:val="21"/>
          <w:szCs w:val="21"/>
        </w:rPr>
        <w:t xml:space="preserve"> the desktop right column is </w:t>
      </w:r>
      <w:r>
        <w:rPr>
          <w:rFonts w:ascii="Consolas" w:cs="Consolas" w:eastAsia="Consolas" w:hAnsi="Consolas"/>
          <w:color w:val="57667C"/>
          <w:sz w:val="18"/>
          <w:szCs w:val="18"/>
        </w:rPr>
        <w:t xml:space="preserve">lg:w-[820px] lg:shrink-0</w:t>
      </w:r>
      <w:r>
        <w:rPr>
          <w:color w:val="10203A"/>
          <w:sz w:val="21"/>
          <w:szCs w:val="21"/>
        </w:rPr>
        <w:t xml:space="preserve"> — a hard 820px regardless of viewport. On a 1366px-wide laptop screen that leaves the entire product catalog squeezed into roughly 540px (minus padding and the border between the two columns), which is why the catalog side already feels oversized/cramped relative to the browsing area before payment is even considered.</w:t>
      </w:r>
    </w:p>
    <w:p>
      <w:pPr>
        <w:pStyle w:val="Heading2"/>
        <w:spacing w:after="120" w:before="320"/>
      </w:pPr>
      <w:r>
        <w:rPr>
          <w:b/>
          <w:bCs/>
          <w:color w:val="0B3F9E"/>
          <w:sz w:val="24"/>
          <w:szCs w:val="24"/>
        </w:rPr>
        <w:t xml:space="preserve">Root cause 2 — three tall blocks are stacked in that one fixed column</w:t>
      </w:r>
    </w:p>
    <w:p>
      <w:pPr>
        <w:spacing w:after="160" w:line="320"/>
      </w:pPr>
      <w:r>
        <w:rPr>
          <w:color w:val="10203A"/>
          <w:sz w:val="21"/>
          <w:szCs w:val="21"/>
        </w:rPr>
        <w:t xml:space="preserve">The 820px column has to fit, top to bottom: the "Selected Items" header, a scrolling item ledger, then — non-scrolling, always fully visible — the entire payment mini-panel (method toggle + amount + settlement discount + conditional ref field + balance-due strip) and the gradient total banner with the Review &amp; Sign button. Those two bottom blocks have fixed height and are pinned via </w:t>
      </w:r>
      <w:r>
        <w:rPr>
          <w:rFonts w:ascii="Consolas" w:cs="Consolas" w:eastAsia="Consolas" w:hAnsi="Consolas"/>
          <w:color w:val="57667C"/>
          <w:sz w:val="18"/>
          <w:szCs w:val="18"/>
        </w:rPr>
        <w:t xml:space="preserve">shrink-0</w:t>
      </w:r>
      <w:r>
        <w:rPr>
          <w:color w:val="10203A"/>
          <w:sz w:val="21"/>
          <w:szCs w:val="21"/>
        </w:rPr>
        <w:t xml:space="preserve">, so on a laptop with limited vertical height (720–800px, minus the app’s top bar and this page’s own header/tab row) they eat most of the column, and the scrollable item ledger above them can shrink down to a sliver — sometimes just 1–2 rows tall. That reads exactly like the user’s complaint: "the full screen is filled with all the payment type, all the below part is filled" — because it is.</w:t>
      </w:r>
    </w:p>
    <w:p>
      <w:pPr>
        <w:pStyle w:val="Heading2"/>
        <w:spacing w:after="120" w:before="320"/>
      </w:pPr>
      <w:r>
        <w:rPr>
          <w:b/>
          <w:bCs/>
          <w:color w:val="0B3F9E"/>
          <w:sz w:val="24"/>
          <w:szCs w:val="24"/>
        </w:rPr>
        <w:t xml:space="preserve">Root cause 3 — nested independent scroll areas</w:t>
      </w:r>
    </w:p>
    <w:p>
      <w:pPr>
        <w:spacing w:after="160" w:line="320"/>
      </w:pPr>
      <w:r>
        <w:rPr>
          <w:color w:val="10203A"/>
          <w:sz w:val="21"/>
          <w:szCs w:val="21"/>
        </w:rPr>
        <w:t xml:space="preserve">There are up to three separate scroll containers active on desktop Step 1 at once: the left catalog column, the item ledger inside the right column (with its own "↓ more items below" indicator), and — depending on outer layout — the page body itself. On a trackpad or a mouse wheel positioned over the wrong panel, a dealer can scroll a container that has nothing left to reveal while the one they actually want to scroll (the item list) never moves, which reads as "scrolling doesn’t do anything."</w:t>
      </w:r>
    </w:p>
    <w:tbl>
      <w:tblPr>
        <w:tblW w:type="pct" w:w="100%"/>
        <w:tblBorders>
          <w:top w:val="single" w:color="F2DDB4" w:sz="4"/>
          <w:left w:val="single" w:color="F2DDB4" w:sz="4"/>
          <w:bottom w:val="single" w:color="F2DDB4" w:sz="4"/>
          <w:right w:val="single" w:color="F2DDB4" w:sz="4"/>
          <w:insideH w:val="none" w:color="F2DDB4" w:sz="0"/>
          <w:insideV w:val="none" w:color="F2DDB4" w:sz="0"/>
        </w:tblBorders>
      </w:tblPr>
      <w:tblGrid>
        <w:gridCol w:w="100"/>
      </w:tblGrid>
      <w:tr>
        <w:tc>
          <w:tcPr>
            <w:tcW w:type="pct" w:w="100%"/>
            <w:shd w:fill="FDF1E2" w:val="clear"/>
            <w:tcMar>
              <w:top w:type="dxa" w:w="160"/>
              <w:left w:type="dxa" w:w="200"/>
              <w:bottom w:type="dxa" w:w="160"/>
              <w:right w:type="dxa" w:w="200"/>
            </w:tcMar>
          </w:tcPr>
          <w:p>
            <w:pPr>
              <w:spacing w:after="60"/>
            </w:pPr>
            <w:r>
              <w:rPr>
                <w:b/>
                <w:bCs/>
                <w:color w:val="92400E"/>
                <w:sz w:val="20"/>
                <w:szCs w:val="20"/>
              </w:rPr>
              <w:t xml:space="preserve">One more inconsistency worth flagging</w:t>
            </w:r>
          </w:p>
          <w:p>
            <w:pPr>
              <w:spacing w:after="0"/>
            </w:pPr>
            <w:r>
              <w:rPr>
                <w:rFonts w:ascii="Consolas" w:cs="Consolas" w:eastAsia="Consolas" w:hAnsi="Consolas"/>
                <w:color w:val="57667C"/>
                <w:sz w:val="18"/>
                <w:szCs w:val="18"/>
              </w:rPr>
              <w:t xml:space="preserve">PaymentStep.tsx</w:t>
            </w:r>
            <w:r>
              <w:rPr>
                <w:color w:val="10203A"/>
                <w:sz w:val="21"/>
                <w:szCs w:val="21"/>
              </w:rPr>
              <w:t xml:space="preserve"> (Step 2) contains a full, separately-styled desktop layout (</w:t>
            </w:r>
            <w:r>
              <w:rPr>
                <w:rFonts w:ascii="Consolas" w:cs="Consolas" w:eastAsia="Consolas" w:hAnsi="Consolas"/>
                <w:color w:val="57667C"/>
                <w:sz w:val="18"/>
                <w:szCs w:val="18"/>
              </w:rPr>
              <w:t xml:space="preserve">lg:grid lg:grid-cols-[1.35fr_1fr]</w:t>
            </w:r>
            <w:r>
              <w:rPr>
                <w:color w:val="10203A"/>
                <w:sz w:val="21"/>
                <w:szCs w:val="21"/>
              </w:rPr>
              <w:t xml:space="preserve">, its own "Order Summary" card, its own "Review &amp; Finalize Bill" button) — but desktop never routes to Step 2 at all, so none of that is ever seen. The redesign shouldn’t treat that file’s desktop styling as intentional design language; it’s dead code.</w:t>
            </w:r>
          </w:p>
        </w:tc>
      </w:tr>
    </w:tbl>
    <w:p>
      <w:pPr>
        <w:spacing w:after="200"/>
      </w:pPr>
    </w:p>
    <w:p>
      <w:pPr>
        <w:pStyle w:val="Heading1"/>
        <w:spacing w:after="160" w:before="480"/>
      </w:pPr>
      <w:r>
        <w:rPr>
          <w:b/>
          <w:bCs/>
          <w:color w:val="10203A"/>
          <w:sz w:val="30"/>
          <w:szCs w:val="30"/>
        </w:rPr>
        <w:t xml:space="preserve">08 · Redesign brief — constraints</w:t>
      </w:r>
    </w:p>
    <w:p>
      <w:pPr>
        <w:spacing w:after="160" w:line="320"/>
      </w:pPr>
      <w:r>
        <w:rPr>
          <w:color w:val="10203A"/>
          <w:sz w:val="21"/>
          <w:szCs w:val="21"/>
        </w:rPr>
        <w:t xml:space="preserve">What has to keep working, independent of how the pixels are rearranged.</w:t>
      </w:r>
    </w:p>
    <w:p>
      <w:pPr>
        <w:pStyle w:val="Heading2"/>
        <w:spacing w:after="120" w:before="320"/>
      </w:pPr>
      <w:r>
        <w:rPr>
          <w:b/>
          <w:bCs/>
          <w:color w:val="0B3F9E"/>
          <w:sz w:val="24"/>
          <w:szCs w:val="24"/>
        </w:rPr>
        <w:t xml:space="preserve">Must stay visible/reachable at every breakpoint</w:t>
      </w:r>
    </w:p>
    <w:p>
      <w:pPr>
        <w:pStyle w:val="ListParagraph"/>
        <w:numPr>
          <w:ilvl w:val="0"/>
          <w:numId w:val="2"/>
        </w:numPr>
        <w:spacing w:after="90" w:line="300"/>
      </w:pPr>
      <w:r>
        <w:rPr>
          <w:color w:val="10203A"/>
          <w:sz w:val="21"/>
          <w:szCs w:val="21"/>
        </w:rPr>
        <w:t xml:space="preserve">The item ledger must remain genuinely scrollable with a visible affordance, even when the payment panel is on-screen at the same time — don’t let one fixed-height block starve the other on short viewports (this is the actual bug, see §07).</w:t>
      </w:r>
    </w:p>
    <w:p>
      <w:pPr>
        <w:pStyle w:val="ListParagraph"/>
        <w:numPr>
          <w:ilvl w:val="0"/>
          <w:numId w:val="2"/>
        </w:numPr>
        <w:spacing w:after="90" w:line="300"/>
      </w:pPr>
      <w:r>
        <w:rPr>
          <w:color w:val="10203A"/>
          <w:sz w:val="21"/>
          <w:szCs w:val="21"/>
        </w:rPr>
        <w:t xml:space="preserve">Live totals (subtotal, discount, GST if enabled, settlement discount, final total, balance due) recalculate on every keystroke in Rate / Qty / Amount / Discount / Amount Received / Settlement Discount — no "apply" step.</w:t>
      </w:r>
    </w:p>
    <w:p>
      <w:pPr>
        <w:pStyle w:val="ListParagraph"/>
        <w:numPr>
          <w:ilvl w:val="0"/>
          <w:numId w:val="2"/>
        </w:numPr>
        <w:spacing w:after="90" w:line="300"/>
      </w:pPr>
      <w:r>
        <w:rPr>
          <w:color w:val="10203A"/>
          <w:sz w:val="21"/>
          <w:szCs w:val="21"/>
        </w:rPr>
        <w:t xml:space="preserve">Draft tabs (up to 5 concurrent invoices) and the date picker are desktop-only today; decide deliberately whether tablet gets them too, rather than by breakpoint accident.</w:t>
      </w:r>
    </w:p>
    <w:p>
      <w:pPr>
        <w:pStyle w:val="Heading2"/>
        <w:spacing w:after="120" w:before="320"/>
      </w:pPr>
      <w:r>
        <w:rPr>
          <w:b/>
          <w:bCs/>
          <w:color w:val="0B3F9E"/>
          <w:sz w:val="24"/>
          <w:szCs w:val="24"/>
        </w:rPr>
        <w:t xml:space="preserve">States a component library needs to cover</w:t>
      </w:r>
    </w:p>
    <w:p>
      <w:pPr>
        <w:pStyle w:val="ListParagraph"/>
        <w:numPr>
          <w:ilvl w:val="0"/>
          <w:numId w:val="2"/>
        </w:numPr>
        <w:spacing w:after="90" w:line="300"/>
      </w:pPr>
      <w:r>
        <w:rPr>
          <w:color w:val="10203A"/>
          <w:sz w:val="21"/>
          <w:szCs w:val="21"/>
        </w:rPr>
        <w:t xml:space="preserve">Empty cart ("Your cart is empty — select your first item…") vs populated cart</w:t>
      </w:r>
    </w:p>
    <w:p>
      <w:pPr>
        <w:pStyle w:val="ListParagraph"/>
        <w:numPr>
          <w:ilvl w:val="0"/>
          <w:numId w:val="2"/>
        </w:numPr>
        <w:spacing w:after="90" w:line="300"/>
      </w:pPr>
      <w:r>
        <w:rPr>
          <w:color w:val="10203A"/>
          <w:sz w:val="21"/>
          <w:szCs w:val="21"/>
        </w:rPr>
        <w:t xml:space="preserve">Feed vs Medicine item row (medicine carries a discount %, feed doesn’t)</w:t>
      </w:r>
    </w:p>
    <w:p>
      <w:pPr>
        <w:pStyle w:val="ListParagraph"/>
        <w:numPr>
          <w:ilvl w:val="0"/>
          <w:numId w:val="2"/>
        </w:numPr>
        <w:spacing w:after="90" w:line="300"/>
      </w:pPr>
      <w:r>
        <w:rPr>
          <w:color w:val="10203A"/>
          <w:sz w:val="21"/>
          <w:szCs w:val="21"/>
        </w:rPr>
        <w:t xml:space="preserve">Single-batch vs multi-batch product (batch/age-badge picker only appears with &gt;1 lot)</w:t>
      </w:r>
    </w:p>
    <w:p>
      <w:pPr>
        <w:pStyle w:val="ListParagraph"/>
        <w:numPr>
          <w:ilvl w:val="0"/>
          <w:numId w:val="2"/>
        </w:numPr>
        <w:spacing w:after="90" w:line="300"/>
      </w:pPr>
      <w:r>
        <w:rPr>
          <w:color w:val="10203A"/>
          <w:sz w:val="21"/>
          <w:szCs w:val="21"/>
        </w:rPr>
        <w:t xml:space="preserve">Walk-in customer vs named farmer (credit fields, discount lookups, and the Credit payment option all depend on this)</w:t>
      </w:r>
    </w:p>
    <w:p>
      <w:pPr>
        <w:pStyle w:val="ListParagraph"/>
        <w:numPr>
          <w:ilvl w:val="0"/>
          <w:numId w:val="2"/>
        </w:numPr>
        <w:spacing w:after="90" w:line="300"/>
      </w:pPr>
      <w:r>
        <w:rPr>
          <w:color w:val="10203A"/>
          <w:sz w:val="21"/>
          <w:szCs w:val="21"/>
        </w:rPr>
        <w:t xml:space="preserve">Cash/UPI/Bank vs Credit payment (Settlement Discount and Amount Received fields change together)</w:t>
      </w:r>
    </w:p>
    <w:p>
      <w:pPr>
        <w:pStyle w:val="ListParagraph"/>
        <w:numPr>
          <w:ilvl w:val="0"/>
          <w:numId w:val="2"/>
        </w:numPr>
        <w:spacing w:after="90" w:line="300"/>
      </w:pPr>
      <w:r>
        <w:rPr>
          <w:color w:val="10203A"/>
          <w:sz w:val="21"/>
          <w:szCs w:val="21"/>
        </w:rPr>
        <w:t xml:space="preserve">Signature required vs optional vs "verify later" PIN</w:t>
      </w:r>
    </w:p>
    <w:p>
      <w:pPr>
        <w:pStyle w:val="ListParagraph"/>
        <w:numPr>
          <w:ilvl w:val="0"/>
          <w:numId w:val="2"/>
        </w:numPr>
        <w:spacing w:after="90" w:line="300"/>
      </w:pPr>
      <w:r>
        <w:rPr>
          <w:color w:val="10203A"/>
          <w:sz w:val="21"/>
          <w:szCs w:val="21"/>
        </w:rPr>
        <w:t xml:space="preserve">Online save vs offline-queued save (amber "Saved Offline" variant of the success screen, no bill number yet)</w:t>
      </w:r>
    </w:p>
    <w:p>
      <w:pPr>
        <w:pStyle w:val="ListParagraph"/>
        <w:numPr>
          <w:ilvl w:val="0"/>
          <w:numId w:val="2"/>
        </w:numPr>
        <w:spacing w:after="90" w:line="300"/>
      </w:pPr>
      <w:r>
        <w:rPr>
          <w:color w:val="10203A"/>
          <w:sz w:val="21"/>
          <w:szCs w:val="21"/>
        </w:rPr>
        <w:t xml:space="preserve">Over-credit-limit and possible-duplicate warning states</w:t>
      </w:r>
    </w:p>
    <w:p>
      <w:pPr>
        <w:pStyle w:val="Heading2"/>
        <w:spacing w:after="120" w:before="320"/>
      </w:pPr>
      <w:r>
        <w:rPr>
          <w:b/>
          <w:bCs/>
          <w:color w:val="0B3F9E"/>
          <w:sz w:val="24"/>
          <w:szCs w:val="24"/>
        </w:rPr>
        <w:t xml:space="preserve">Real breakpoint currently in use</w:t>
      </w:r>
    </w:p>
    <w:p>
      <w:pPr>
        <w:spacing w:after="160" w:line="320"/>
      </w:pPr>
      <w:r>
        <w:rPr>
          <w:color w:val="10203A"/>
          <w:sz w:val="21"/>
          <w:szCs w:val="21"/>
        </w:rPr>
        <w:t xml:space="preserve">Everything above switches on a single JS check — viewport width </w:t>
      </w:r>
      <w:r>
        <w:rPr>
          <w:rFonts w:ascii="Consolas" w:cs="Consolas" w:eastAsia="Consolas" w:hAnsi="Consolas"/>
          <w:color w:val="57667C"/>
          <w:sz w:val="18"/>
          <w:szCs w:val="18"/>
        </w:rPr>
        <w:t xml:space="preserve">&lt; 1024px</w:t>
      </w:r>
      <w:r>
        <w:rPr>
          <w:color w:val="10203A"/>
          <w:sz w:val="21"/>
          <w:szCs w:val="21"/>
        </w:rPr>
        <w:t xml:space="preserve"> counts as "mobile" for this page (it drives which step set renders, not just CSS). There’s a second, purely visual Tailwind breakpoint at </w:t>
      </w:r>
      <w:r>
        <w:rPr>
          <w:rFonts w:ascii="Consolas" w:cs="Consolas" w:eastAsia="Consolas" w:hAnsi="Consolas"/>
          <w:color w:val="57667C"/>
          <w:sz w:val="18"/>
          <w:szCs w:val="18"/>
        </w:rPr>
        <w:t xml:space="preserve">768px</w:t>
      </w:r>
      <w:r>
        <w:rPr>
          <w:color w:val="10203A"/>
          <w:sz w:val="21"/>
          <w:szCs w:val="21"/>
        </w:rPr>
        <w:t xml:space="preserve"> inside a few components (e.g. the review table’s mobile/desktop column set). A cleaner system would pick one set of breakpoints and use it everywhere, including for the JS-level step logic.</w:t>
      </w:r>
    </w:p>
    <w:p>
      <w:pPr>
        <w:pBdr>
          <w:top w:val="single" w:color="D8E0E9" w:sz="4"/>
        </w:pBdr>
        <w:spacing w:before="400"/>
      </w:pPr>
      <w:r>
        <w:rPr>
          <w:rFonts w:ascii="Consolas" w:cs="Consolas" w:eastAsia="Consolas" w:hAnsi="Consolas"/>
          <w:color w:val="57667C"/>
          <w:sz w:val="16"/>
          <w:szCs w:val="16"/>
        </w:rPr>
        <w:t xml:space="preserve">AquaDealer — Billing feature teardown, for hand-off to UI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2026-09-15T08:14:25.288Z</dcterms:created>
  <dcterms:modified xsi:type="dcterms:W3CDTF">2026-09-15T08:14:25.290Z</dcterms:modified>
</cp:coreProperties>
</file>

<file path=docProps/custom.xml><?xml version="1.0" encoding="utf-8"?>
<Properties xmlns="http://schemas.openxmlformats.org/officeDocument/2006/custom-properties" xmlns:vt="http://schemas.openxmlformats.org/officeDocument/2006/docPropsVTypes"/>
</file>