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pPr>
      <w:bookmarkStart w:id="0" w:name="concepts-affect-body-materiality"/>
      <w:bookmarkEnd w:id="0"/>
      <w:r>
        <w:rPr/>
        <w:t>3. Concepts: affect, body, materiality</w:t>
      </w:r>
    </w:p>
    <w:p>
      <w:pPr>
        <w:pStyle w:val="Normal"/>
        <w:rPr/>
      </w:pPr>
      <w:r>
        <w:rPr/>
        <w:t xml:space="preserve">A main concern underlying this project is that in day-to-day life there is a prevalent automatism and </w:t>
      </w:r>
      <w:r>
        <w:rPr/>
        <w:t>standardization</w:t>
      </w:r>
      <w:r>
        <w:rPr/>
        <w:t xml:space="preserve"> of ways of using transport, working and </w:t>
      </w:r>
      <w:r>
        <w:rPr/>
        <w:t>perceiving</w:t>
      </w:r>
      <w:r>
        <w:rPr/>
        <w:t xml:space="preserve"> the body and the city in general. Each one of these elements that compose urban </w:t>
      </w:r>
      <w:r>
        <w:rPr/>
        <w:t>rhythms</w:t>
      </w:r>
      <w:r>
        <w:rPr/>
        <w:t xml:space="preserve"> are more or less taken for granted, and considered as mere objects and </w:t>
      </w:r>
      <w:r>
        <w:rPr/>
        <w:t>routines</w:t>
      </w:r>
      <w:r>
        <w:rPr/>
        <w:t xml:space="preserve"> that function under fixed ways that change little. However, the city concert also has a deal of potentials that are </w:t>
      </w:r>
      <w:r>
        <w:rPr/>
        <w:t>re-actualized</w:t>
      </w:r>
      <w:r>
        <w:rPr/>
        <w:t xml:space="preserve"> moment to moment. The city has a way of constantly creating its own character: that is, people and things create a full working network and at the same time the city itself is a living being. There is no intention to humanize a non-human, but to understand the influence under which it is subject and how it creates effects upon </w:t>
      </w:r>
      <w:r>
        <w:rPr>
          <w:i/>
        </w:rPr>
        <w:t>all citizens</w:t>
      </w:r>
      <w:r>
        <w:rPr/>
        <w:t>.</w:t>
      </w:r>
    </w:p>
    <w:p>
      <w:pPr>
        <w:pStyle w:val="Normal"/>
        <w:rPr/>
      </w:pPr>
      <w:r>
        <w:rPr/>
        <w:t xml:space="preserve">Emotions also are boiling on the surface of city activity, but it is not this alone that imprints a distinction on how urban flows act, react, change directions and sizes, stop, and come back under different ways. Their are certain properties and activities that make a city closer to "all that it can be", or rather those that just keep it at a minimum. </w:t>
      </w:r>
      <w:r>
        <w:rPr>
          <w:i/>
        </w:rPr>
        <w:t>Emotions are not the same than affections</w:t>
      </w:r>
      <w:r>
        <w:rPr/>
        <w:t xml:space="preserve"> repeat Deleuzian texts and their readers: while the first are needed for a qualitative detection of lively experiences and themes, they are not the points that show how far an entity can reach to the infinite of possibilities to be developed. Each atom of this "life of associations", to use a Tardean idea, can have a strength and </w:t>
      </w:r>
      <w:r>
        <w:rPr/>
        <w:t>ability</w:t>
      </w:r>
      <w:r>
        <w:rPr/>
        <w:t xml:space="preserve"> to propagate itself, or just die alone from internal implosion. Affect can be on one extreme the potential for sadness, but most commonly cited as the contrary potential for joy, expansion, and freedom to do what is desired and desirable.</w:t>
      </w:r>
    </w:p>
    <w:p>
      <w:pPr>
        <w:pStyle w:val="BlockQuote"/>
        <w:rPr/>
      </w:pPr>
      <w:r>
        <w:rPr>
          <w:i/>
        </w:rPr>
        <w:t>Affectivity is understood as intrinsically positive: it is the force that aims at fulfilling the subject's capacity for interaction and freedom. [...] The positivity of this desire to express one's innermost and constitutive freedom can be termed as conatus, potentia or becoming.</w:t>
      </w:r>
      <w:r>
        <w:rPr/>
        <w:t>[^9]</w:t>
      </w:r>
    </w:p>
    <w:p>
      <w:pPr>
        <w:pStyle w:val="Normal"/>
        <w:rPr/>
      </w:pPr>
      <w:r>
        <w:rPr/>
        <w:t xml:space="preserve">[^9] BRAIDOTTI, Rosi. </w:t>
      </w:r>
      <w:r>
        <w:rPr/>
        <w:t>2006. P. 148.</w:t>
      </w:r>
    </w:p>
    <w:p>
      <w:pPr>
        <w:pStyle w:val="Normal"/>
        <w:rPr/>
      </w:pPr>
      <w:r>
        <w:rPr/>
        <w:t xml:space="preserve">One of the primary motors that allow to these realizations is desire, highlighted as the primer trigger that enables subsequent </w:t>
      </w:r>
      <w:r>
        <w:rPr/>
        <w:t>processes</w:t>
      </w:r>
      <w:r>
        <w:rPr/>
        <w:t xml:space="preserve"> in human society. Hence one can make a direct relation linking affections and desire to produce societal outcomes, be them productive for liberation or, on the other hand, even for alienating, controlling and impeding the liberation of desire:</w:t>
      </w:r>
    </w:p>
    <w:p>
      <w:pPr>
        <w:pStyle w:val="BlockQuote"/>
        <w:rPr/>
      </w:pPr>
      <w:r>
        <w:rPr>
          <w:i/>
        </w:rPr>
        <w:t xml:space="preserve">Undeniably a romantic concept within his discussion of the regulation and production of desire and energy within a social field, Deleuze’s writings affect and affection nevertheless enable a material, and therefore political critique of capital and its operations. Within a Deleuzian framework, affect operates as a dynamic of desire within any assemblage to manipulate meaning and relations, inform and fabricate desire, and generate intensity – yielding different affects in any given situation or event. [...] In Deleuze’s singular and collaborative work with Guattari, affective forces are depicted as reactive or active (following Nietzsche), tacit or performed. As Deleuze portrays it, affective power can be </w:t>
      </w:r>
      <w:r>
        <w:rPr>
          <w:i/>
        </w:rPr>
        <w:t>utilized</w:t>
      </w:r>
      <w:r>
        <w:rPr>
          <w:i/>
        </w:rPr>
        <w:t xml:space="preserve"> to enable ability, authority, control and creativity.</w:t>
      </w:r>
      <w:r>
        <w:rPr/>
        <w:t>[^10]</w:t>
      </w:r>
    </w:p>
    <w:p>
      <w:pPr>
        <w:pStyle w:val="Normal"/>
        <w:rPr/>
      </w:pPr>
      <w:r>
        <w:rPr/>
        <w:t xml:space="preserve">[^10] PARR, Adrian. </w:t>
      </w:r>
      <w:r>
        <w:rPr>
          <w:i/>
        </w:rPr>
        <w:t>The Deleuze Dictionary</w:t>
      </w:r>
      <w:r>
        <w:rPr/>
        <w:t xml:space="preserve"> [2005]. Edinburgh University Press, Edinburgh, 2010. P. 13</w:t>
      </w:r>
    </w:p>
    <w:p>
      <w:pPr>
        <w:pStyle w:val="Normal"/>
        <w:rPr/>
      </w:pPr>
      <w:r>
        <w:rPr/>
        <w:t xml:space="preserve">The city and its components, humans and non-humans, have a number of potentials working at several levels of networks. And these network points even have the ability to interchange properties and labels: a passive human-car annexed together can be more of a block in the system of flows than an active non-human river that transports water to the industries and thirsty people. Even separating humans from non-humans is fictional: they are structured ways of understanding agents that are not actually very easily separated, a cyborg human becomes </w:t>
      </w:r>
      <w:r>
        <w:rPr/>
        <w:t>indistinguishable</w:t>
      </w:r>
      <w:r>
        <w:rPr/>
        <w:t xml:space="preserve"> from a pos-human, or even a simple human.</w:t>
      </w:r>
    </w:p>
    <w:p>
      <w:pPr>
        <w:pStyle w:val="Normal"/>
        <w:rPr/>
      </w:pPr>
      <w:r>
        <w:rPr/>
        <w:t>The research suggested here intends to explore the capabilities in urban life and seek how it may unfold: it's a search that goes to several components of a network and see how they may render multiple layers of possible outcomes.</w:t>
      </w:r>
    </w:p>
    <w:p>
      <w:pPr>
        <w:pStyle w:val="Encabezado1"/>
        <w:rPr/>
      </w:pPr>
      <w:bookmarkStart w:id="1" w:name="bibliography"/>
      <w:bookmarkEnd w:id="1"/>
      <w:r>
        <w:rPr/>
        <w:t>Bibliography</w:t>
      </w:r>
    </w:p>
    <w:p>
      <w:pPr>
        <w:pStyle w:val="Normal"/>
        <w:spacing w:before="68" w:after="68"/>
        <w:rPr>
          <w:sz w:val="20"/>
          <w:szCs w:val="20"/>
        </w:rPr>
      </w:pPr>
      <w:r>
        <w:rPr>
          <w:sz w:val="20"/>
          <w:szCs w:val="20"/>
        </w:rPr>
        <w:t xml:space="preserve">ASCHIERI, Patricia. "Hacia una etnografía encarnada: La corporalidad del etnógrafo/a como dato en la investigación". </w:t>
      </w:r>
      <w:r>
        <w:rPr>
          <w:i/>
          <w:sz w:val="20"/>
          <w:szCs w:val="20"/>
        </w:rPr>
        <w:t>X RAM- Reunión de Antropología del Mercosur</w:t>
      </w:r>
      <w:r>
        <w:rPr>
          <w:sz w:val="20"/>
          <w:szCs w:val="20"/>
        </w:rPr>
        <w:t>. Córdoba, Argentina, 2013.</w:t>
      </w:r>
    </w:p>
    <w:p>
      <w:pPr>
        <w:pStyle w:val="Normal"/>
        <w:spacing w:before="68" w:after="68"/>
        <w:rPr>
          <w:sz w:val="20"/>
          <w:szCs w:val="20"/>
        </w:rPr>
      </w:pPr>
      <w:r>
        <w:rPr>
          <w:sz w:val="20"/>
          <w:szCs w:val="20"/>
        </w:rPr>
        <w:t xml:space="preserve">BECKER, Howard S. </w:t>
      </w:r>
      <w:r>
        <w:rPr>
          <w:i/>
          <w:sz w:val="20"/>
          <w:szCs w:val="20"/>
        </w:rPr>
        <w:t>What About Mozart? What About Murder? Reasoning From Cases</w:t>
      </w:r>
      <w:r>
        <w:rPr>
          <w:sz w:val="20"/>
          <w:szCs w:val="20"/>
        </w:rPr>
        <w:t>. The University of Chicago Press, Chicago, 2014.</w:t>
      </w:r>
    </w:p>
    <w:p>
      <w:pPr>
        <w:pStyle w:val="Normal"/>
        <w:spacing w:before="68" w:after="68"/>
        <w:rPr>
          <w:sz w:val="20"/>
          <w:szCs w:val="20"/>
        </w:rPr>
      </w:pPr>
      <w:r>
        <w:rPr>
          <w:sz w:val="20"/>
          <w:szCs w:val="20"/>
        </w:rPr>
        <w:t xml:space="preserve">BRAIDOTTI, Rosi. </w:t>
      </w:r>
      <w:r>
        <w:rPr>
          <w:i/>
          <w:sz w:val="20"/>
          <w:szCs w:val="20"/>
        </w:rPr>
        <w:t>Transpositions: On Nomadic Ethics</w:t>
      </w:r>
      <w:r>
        <w:rPr>
          <w:sz w:val="20"/>
          <w:szCs w:val="20"/>
        </w:rPr>
        <w:t>. Polity, Cambridge, 2006.</w:t>
      </w:r>
    </w:p>
    <w:p>
      <w:pPr>
        <w:pStyle w:val="Normal"/>
        <w:spacing w:before="68" w:after="68"/>
        <w:rPr>
          <w:sz w:val="20"/>
          <w:szCs w:val="20"/>
        </w:rPr>
      </w:pPr>
      <w:r>
        <w:rPr>
          <w:sz w:val="20"/>
          <w:szCs w:val="20"/>
        </w:rPr>
        <w:t xml:space="preserve">ETTEMA, Dick. "Runnable Cities. How Does the Running Environment Influence Perceived Attractiveness, Restorativeness, and Running Frequency?" </w:t>
      </w:r>
      <w:r>
        <w:rPr>
          <w:i/>
          <w:sz w:val="20"/>
          <w:szCs w:val="20"/>
        </w:rPr>
        <w:t>Environment and Behaviour</w:t>
      </w:r>
      <w:r>
        <w:rPr>
          <w:sz w:val="20"/>
          <w:szCs w:val="20"/>
        </w:rPr>
        <w:t>. Pp. 1-21. 2015.</w:t>
      </w:r>
    </w:p>
    <w:p>
      <w:pPr>
        <w:pStyle w:val="Normal"/>
        <w:spacing w:before="68" w:after="68"/>
        <w:rPr>
          <w:sz w:val="20"/>
          <w:szCs w:val="20"/>
        </w:rPr>
      </w:pPr>
      <w:r>
        <w:rPr>
          <w:sz w:val="20"/>
          <w:szCs w:val="20"/>
        </w:rPr>
        <w:t xml:space="preserve">ATKINSON, Paul; HAMMERSLEY, Martyn. </w:t>
      </w:r>
      <w:r>
        <w:rPr>
          <w:i/>
          <w:sz w:val="20"/>
          <w:szCs w:val="20"/>
        </w:rPr>
        <w:t>Ethnography: principles in practice</w:t>
      </w:r>
      <w:r>
        <w:rPr>
          <w:sz w:val="20"/>
          <w:szCs w:val="20"/>
        </w:rPr>
        <w:t>. 3rd ed. London; New York, NY: Routledge, 2007.</w:t>
      </w:r>
    </w:p>
    <w:p>
      <w:pPr>
        <w:pStyle w:val="Normal"/>
        <w:spacing w:before="68" w:after="68"/>
        <w:rPr>
          <w:sz w:val="20"/>
          <w:szCs w:val="20"/>
        </w:rPr>
      </w:pPr>
      <w:r>
        <w:rPr>
          <w:sz w:val="20"/>
          <w:szCs w:val="20"/>
        </w:rPr>
        <w:t xml:space="preserve">HANNERZ, Ulf. “The City as Theater: Tales of Goffmann”. In </w:t>
      </w:r>
      <w:r>
        <w:rPr>
          <w:i/>
          <w:sz w:val="20"/>
          <w:szCs w:val="20"/>
        </w:rPr>
        <w:t>Exploring the city: inquiries toward an urban anthropology</w:t>
      </w:r>
      <w:r>
        <w:rPr>
          <w:sz w:val="20"/>
          <w:szCs w:val="20"/>
        </w:rPr>
        <w:t>. New York, NY: Columbia University Press, 1980.</w:t>
      </w:r>
    </w:p>
    <w:p>
      <w:pPr>
        <w:pStyle w:val="Normal"/>
        <w:spacing w:before="68" w:after="68"/>
        <w:rPr>
          <w:sz w:val="20"/>
          <w:szCs w:val="20"/>
        </w:rPr>
      </w:pPr>
      <w:r>
        <w:rPr>
          <w:sz w:val="20"/>
          <w:szCs w:val="20"/>
        </w:rPr>
        <w:t xml:space="preserve">HOLLOWAY, Imma; BROWN, Lorraine; and SHIPWAY, Richard. "Meaning not measurement: Using ethnography to bring a deeper understanding to the participant experience of festivals and events". </w:t>
      </w:r>
      <w:r>
        <w:rPr>
          <w:i/>
          <w:sz w:val="20"/>
          <w:szCs w:val="20"/>
        </w:rPr>
        <w:t>International Journal of Event and Festival Management</w:t>
      </w:r>
      <w:r>
        <w:rPr>
          <w:sz w:val="20"/>
          <w:szCs w:val="20"/>
        </w:rPr>
        <w:t>. Vol. 1 Nº 1, 2010.</w:t>
      </w:r>
    </w:p>
    <w:p>
      <w:pPr>
        <w:pStyle w:val="Normal"/>
        <w:spacing w:before="68" w:after="68"/>
        <w:rPr>
          <w:sz w:val="20"/>
          <w:szCs w:val="20"/>
        </w:rPr>
      </w:pPr>
      <w:r>
        <w:rPr>
          <w:sz w:val="20"/>
          <w:szCs w:val="20"/>
        </w:rPr>
        <w:t xml:space="preserve">PARR, Adrian. </w:t>
      </w:r>
      <w:r>
        <w:rPr>
          <w:i/>
          <w:sz w:val="20"/>
          <w:szCs w:val="20"/>
        </w:rPr>
        <w:t>The Deleuze Dictionary</w:t>
      </w:r>
      <w:r>
        <w:rPr>
          <w:sz w:val="20"/>
          <w:szCs w:val="20"/>
        </w:rPr>
        <w:t xml:space="preserve"> [2005]. Edinburgh University Press, Edinburgh, 2010.</w:t>
      </w:r>
    </w:p>
    <w:p>
      <w:pPr>
        <w:pStyle w:val="Normal"/>
        <w:spacing w:before="68" w:after="68"/>
        <w:rPr>
          <w:sz w:val="20"/>
          <w:szCs w:val="20"/>
        </w:rPr>
      </w:pPr>
      <w:r>
        <w:rPr>
          <w:sz w:val="20"/>
          <w:szCs w:val="20"/>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Encabezado1">
    <w:name w:val="Encabezado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Encabezado2">
    <w:name w:val="Encabezado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Encabezado3">
    <w:name w:val="Encabezado 3"/>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Encabezado4">
    <w:name w:val="Encabezado 4"/>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Encabezado5">
    <w:name w:val="Encabezado 5"/>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Caracteresdenotaalpie">
    <w:name w:val="Caracteres de nota al pie"/>
    <w:qFormat/>
    <w:rPr/>
  </w:style>
  <w:style w:type="character" w:styleId="Ancladenotaalpie">
    <w:name w:val="Ancla de nota al pie"/>
    <w:rPr>
      <w:vertAlign w:val="superscrip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link w:val="BodyTextChar"/>
    <w:pPr>
      <w:spacing w:before="180" w:after="12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mpact">
    <w:name w:val="Compact"/>
    <w:basedOn w:val="Normal"/>
    <w:qFormat/>
    <w:pPr>
      <w:spacing w:before="36" w:after="36"/>
    </w:pPr>
    <w:rPr/>
  </w:style>
  <w:style w:type="paragraph" w:styleId="Ttulo">
    <w:name w:val="Título"/>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DefinitionTerm">
    <w:name w:val="Definition Term"/>
    <w:basedOn w:val="Normal"/>
    <w:qFormat/>
    <w:pPr>
      <w:keepNext/>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paragraph" w:styleId="Notaalpie">
    <w:name w:val="Nota al pie"/>
    <w:basedOn w:val="Normal"/>
    <w:pPr/>
    <w:rPr/>
  </w:style>
  <w:style w:type="paragraph" w:styleId="Cita">
    <w:name w:val="Cita"/>
    <w:basedOn w:val="Normal"/>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LibreOffice/5.0.3.2$Linux_X86_64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lastModifiedBy>nilon </cp:lastModifiedBy>
  <dcterms:modified xsi:type="dcterms:W3CDTF">2016-07-31T20:24:41Z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