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line="283" w:lineRule="auto"/>
        <w:jc w:val="center"/>
      </w:pPr>
      <w:r>
        <w:rPr>
          <w:rFonts w:ascii="DejaVu Sans" w:hAnsi="DejaVu Sans" w:eastAsia="DejaVu Sans" w:cs="DejaVu Sans"/>
          <w:b/>
          <w:color w:val="20567A"/>
          <w:sz w:val="24"/>
        </w:rPr>
        <w:t>PRODUCT REQUIREMENTS DOCUMENT</w:t>
      </w:r>
    </w:p>
    <w:p>
      <w:pPr>
        <w:pStyle w:val="Title"/>
        <w:jc w:val="center"/>
      </w:pPr>
      <w:r>
        <w:t>Digital Legacy &amp; Coverage Gap Vault</w:t>
        <w:br/>
        <w:t>(Thailand Market)</w:t>
      </w:r>
    </w:p>
    <w:p>
      <w:pPr>
        <w:spacing w:line="283" w:lineRule="auto"/>
        <w:jc w:val="center"/>
      </w:pPr>
      <w:r>
        <w:rPr>
          <w:rFonts w:ascii="DejaVu Sans" w:hAnsi="DejaVu Sans" w:eastAsia="DejaVu Sans" w:cs="DejaVu Sans"/>
          <w:b/>
          <w:color w:val="3C3C3C"/>
          <w:sz w:val="28"/>
        </w:rPr>
        <w:t>Product Requirements &amp; Technical Specification</w:t>
      </w:r>
    </w:p>
    <w:p>
      <w:pPr>
        <w:spacing w:before="360" w:line="283" w:lineRule="auto"/>
        <w:jc w:val="center"/>
      </w:pPr>
      <w:r>
        <w:rPr>
          <w:rFonts w:ascii="DejaVu Sans" w:hAnsi="DejaVu Sans" w:eastAsia="DejaVu Sans" w:cs="DejaVu Sans"/>
          <w:b/>
          <w:color w:val="163A5F"/>
          <w:sz w:val="32"/>
        </w:rPr>
        <w:t>Revision 1.1.1</w:t>
      </w:r>
    </w:p>
    <w:p>
      <w:pPr>
        <w:spacing w:line="283" w:lineRule="auto"/>
        <w:jc w:val="center"/>
      </w:pPr>
      <w:r>
        <w:rPr>
          <w:rFonts w:ascii="DejaVu Sans" w:hAnsi="DejaVu Sans" w:eastAsia="DejaVu Sans" w:cs="DejaVu Sans"/>
          <w:color w:val="505050"/>
          <w:sz w:val="21"/>
        </w:rPr>
        <w:t>20 October 2026</w:t>
      </w:r>
    </w:p>
    <w:p>
      <w:pPr>
        <w:spacing w:before="840" w:line="283" w:lineRule="auto"/>
        <w:jc w:val="center"/>
      </w:pPr>
      <w:r>
        <w:rPr>
          <w:rFonts w:ascii="DejaVu Sans" w:hAnsi="DejaVu Sans" w:eastAsia="DejaVu Sans" w:cs="DejaVu Sans"/>
          <w:b/>
          <w:sz w:val="21"/>
        </w:rPr>
        <w:t>Status: Draft / Architecture Review Candidate</w:t>
      </w:r>
    </w:p>
    <w:p>
      <w:pPr>
        <w:spacing w:line="283" w:lineRule="auto"/>
        <w:jc w:val="center"/>
      </w:pPr>
      <w:r>
        <w:rPr>
          <w:rFonts w:ascii="DejaVu Sans" w:hAnsi="DejaVu Sans" w:eastAsia="DejaVu Sans" w:cs="DejaVu Sans"/>
          <w:sz w:val="19"/>
        </w:rPr>
        <w:t>Target: Thailand - B2C Individuals, B2B2C Insurance Agents / Financial Advisors, Corporate HR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73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83" w:lineRule="auto" w:after="0"/>
              <w:jc w:val="left"/>
            </w:pPr>
            <w:r>
              <w:rPr>
                <w:rFonts w:ascii="DejaVu Sans" w:hAnsi="DejaVu Sans" w:eastAsia="DejaVu Sans" w:cs="DejaVu Sans"/>
                <w:b/>
                <w:sz w:val="18"/>
              </w:rPr>
              <w:t>Field</w:t>
            </w:r>
          </w:p>
        </w:tc>
        <w:tc>
          <w:tcPr>
            <w:tcW w:type="dxa" w:w="806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83" w:lineRule="auto" w:after="0"/>
              <w:jc w:val="left"/>
            </w:pPr>
            <w:r>
              <w:rPr>
                <w:rFonts w:ascii="DejaVu Sans" w:hAnsi="DejaVu Sans" w:eastAsia="DejaVu Sans" w:cs="DejaVu Sans"/>
                <w:b/>
                <w:sz w:val="18"/>
              </w:rPr>
              <w:t>Value</w:t>
            </w:r>
          </w:p>
        </w:tc>
      </w:tr>
      <w:tr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8"/>
              </w:rPr>
              <w:t>Project Name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8"/>
              </w:rPr>
              <w:t>Digital Legacy &amp; Coverage Gap Vault (Thailand Market)</w:t>
            </w:r>
          </w:p>
        </w:tc>
      </w:tr>
      <w:tr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8"/>
              </w:rPr>
              <w:t>Document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8"/>
              </w:rPr>
              <w:t>Product Requirements Document &amp; Technical Specification</w:t>
            </w:r>
          </w:p>
        </w:tc>
      </w:tr>
      <w:tr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8"/>
              </w:rPr>
              <w:t>Version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1.1.1</w:t>
            </w:r>
          </w:p>
        </w:tc>
      </w:tr>
      <w:tr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8"/>
              </w:rPr>
              <w:t>Status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8"/>
              </w:rPr>
              <w:t>Draft / Architecture Review Candidate</w:t>
            </w:r>
          </w:p>
        </w:tc>
      </w:tr>
      <w:tr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8"/>
              </w:rPr>
              <w:t>Revision Date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8"/>
              </w:rPr>
              <w:t>20 October 2026</w:t>
            </w:r>
          </w:p>
        </w:tc>
      </w:tr>
      <w:tr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8"/>
              </w:rPr>
              <w:t>Primary Audience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8"/>
              </w:rPr>
              <w:t>Product, Engineering, Security, Legal/Compliance, Insurance Partners, Corporate HR</w:t>
            </w:r>
          </w:p>
        </w:tc>
      </w:tr>
      <w:tr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8"/>
              </w:rPr>
              <w:t>Supersedes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PRD v1.1</w:t>
            </w:r>
          </w:p>
        </w:tc>
      </w:tr>
      <w:tr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8"/>
              </w:rPr>
              <w:t>Decision Gate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Architecture + Security + Thai legal/regulatory review before implementation freeze</w:t>
            </w:r>
          </w:p>
        </w:tc>
      </w:tr>
    </w:tbl>
    <w:p>
      <w:pPr>
        <w:spacing w:after="0"/>
      </w:pPr>
    </w:p>
    <w:p>
      <w:pPr>
        <w:pStyle w:val="Heading2"/>
      </w:pPr>
      <w:r>
        <w:t>Revision 1.1.1 - Summary of Material 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83" w:lineRule="auto" w:after="0"/>
              <w:jc w:val="left"/>
            </w:pPr>
            <w:r>
              <w:rPr>
                <w:rFonts w:ascii="DejaVu Sans" w:hAnsi="DejaVu Sans" w:eastAsia="DejaVu Sans" w:cs="DejaVu Sans"/>
                <w:b/>
                <w:sz w:val="17"/>
              </w:rPr>
              <w:t>Area</w:t>
            </w:r>
          </w:p>
        </w:tc>
        <w:tc>
          <w:tcPr>
            <w:tcW w:type="dxa" w:w="835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83" w:lineRule="auto" w:after="0"/>
              <w:jc w:val="left"/>
            </w:pPr>
            <w:r>
              <w:rPr>
                <w:rFonts w:ascii="DejaVu Sans" w:hAnsi="DejaVu Sans" w:eastAsia="DejaVu Sans" w:cs="DejaVu Sans"/>
                <w:b/>
                <w:sz w:val="17"/>
              </w:rPr>
              <w:t>v1.1.1 Change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Security boundary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7"/>
              </w:rPr>
              <w:t>แยก Tier 1 Emergency Key และ Tier 2 Estate Key เป็น independent cryptographic keys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AEAD encryption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7"/>
              </w:rPr>
              <w:t>เปลี่ยนจาก IV ระดับ vault เป็น per-object nonce/IV + AAD + key version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Unlock approvals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7"/>
              </w:rPr>
              <w:t>ย้าย approval จาก verifier-level boolean เป็น approval ต่อ unlock request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Trust model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7"/>
              </w:rPr>
              <w:t>ยกเลิก Agent เป็น default Shamir share holder; default เป็น platform + trusted person + independent backup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Recovery card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7"/>
              </w:rPr>
              <w:t>QR/NFC เก็บ encrypted recovery package ไม่ใช่ raw Shamir share; รองรับ revoke/rotate/reissue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Dead-Man flow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7"/>
              </w:rPr>
              <w:t>Inactivity อย่างเดียวไม่สามารถปลด Tier 2; ใช้ state machine + death verification + release delay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Living Will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7"/>
              </w:rPr>
              <w:t>แยก Living Will ตาม พ.ร.บ.สุขภาพแห่งชาติ ม.12 ออกจาก generic DNR/emergency preferences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Will generator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7"/>
              </w:rPr>
              <w:t>เพิ่ม guardrail ม.1656 และ 1657 และเปลี่ยน 1657 เป็น Handwritten Will Guide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Insurance discovery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7"/>
              </w:rPr>
              <w:t>เพิ่ม guided handoff ไป OIC Connect - My Legacy หลังการเสียชีวิต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Lead privacy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7"/>
              </w:rPr>
              <w:t>เปลี่ยน “Anonymous Quote” เป็น “Privacy-Limited Quote” และแยก consent receipt/domain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Corporate HR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7"/>
              </w:rPr>
              <w:t>เปลี่ยน beneficiary feature เป็น planning/status hub ไม่อ้างว่าเปลี่ยน beneficiary กับ provider สำเร็จ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Commercial model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7"/>
              </w:rPr>
              <w:t>แยก Lifetime Vault Pass ออกจาก optional Continuity Service เพื่อรองรับต้นทุนระยะยาว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Web threat model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7"/>
              </w:rPr>
              <w:t>เพิ่ม controls สำหรับ malicious/compromised JavaScript, third-party scripts และ origin isolation</w:t>
            </w:r>
          </w:p>
        </w:tc>
      </w:tr>
      <w:tr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Owner/device recovery</w:t>
            </w:r>
          </w:p>
        </w:tc>
        <w:tc>
          <w:tcPr>
            <w:tcW w:type="dxa" w:w="5083"/>
          </w:tcPr>
          <w:p>
            <w:r>
              <w:t>เพิ่ม owner-held recovery path, trusted-device lifecycle, lost-device revocation และ key re-wrap โดยห้าม support/admin reset ที่ถอด vault ได้</w:t>
            </w:r>
          </w:p>
        </w:tc>
      </w:tr>
      <w:tr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Disputed unlock handling</w:t>
            </w:r>
          </w:p>
        </w:tc>
        <w:tc>
          <w:tcPr>
            <w:tcW w:type="dxa" w:w="5083"/>
          </w:tcPr>
          <w:p>
            <w:r>
              <w:t>เพิ่ม DISPUTED / SECURITY_FREEZE state; conflicting evidence, owner-alive response หรือ suspected fraud หยุด key release อัตโนมัติ</w:t>
            </w:r>
          </w:p>
        </w:tc>
      </w:tr>
      <w:tr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Identity assurance</w:t>
            </w:r>
          </w:p>
        </w:tc>
        <w:tc>
          <w:tcPr>
            <w:tcW w:type="dxa" w:w="5083"/>
          </w:tcPr>
          <w:p>
            <w:r>
              <w:t>แยก authentication ออกจาก identity proofing; เพิ่ม verifier assurance levels และ policy hook สำหรับ Tier 2</w:t>
            </w:r>
          </w:p>
        </w:tc>
      </w:tr>
      <w:tr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Portability / service sunset</w:t>
            </w:r>
          </w:p>
        </w:tc>
        <w:tc>
          <w:tcPr>
            <w:tcW w:type="dxa" w:w="5083"/>
          </w:tcPr>
          <w:p>
            <w:r>
              <w:t>เพิ่ม encrypted portable recovery export และ service-exit requirement เพื่อไม่ให้ platform shutdown ทำให้ vault ที่ export แล้วกู้คืนไม่ได้</w:t>
            </w:r>
          </w:p>
        </w:tc>
      </w:tr>
      <w:tr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Multi-device / rollback protection</w:t>
            </w:r>
          </w:p>
        </w:tc>
        <w:tc>
          <w:tcPr>
            <w:tcW w:type="dxa" w:w="5083"/>
          </w:tcPr>
          <w:p>
            <w:r>
              <w:t>เพิ่ม trusted-device model, object revision lineage และ stale/rollback rejection สำหรับ security-sensitive objects</w:t>
            </w:r>
          </w:p>
        </w:tc>
      </w:tr>
      <w:tr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Incapacity / closure / provenance</w:t>
            </w:r>
          </w:p>
        </w:tc>
        <w:tc>
          <w:tcPr>
            <w:tcW w:type="dxa" w:w="5083"/>
          </w:tcPr>
          <w:p>
            <w:r>
              <w:t>เพิ่ม temporary delegated access boundary, vault closure + crypto-erasure workflow และ document provenance states แบบ phased requirements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/>
                <w:i w:val="0"/>
                <w:sz w:val="21"/>
              </w:rPr>
              <w:t xml:space="preserve">Document Notice: </w:t>
            </w:r>
            <w:r>
              <w:rPr>
                <w:rFonts w:ascii="Noto Sans Thai" w:hAnsi="Noto Sans Thai" w:eastAsia="Noto Sans Thai" w:cs="Noto Sans Thai"/>
                <w:b w:val="0"/>
                <w:i w:val="0"/>
                <w:sz w:val="21"/>
              </w:rPr>
              <w:t>เอกสารนี้เป็น product/technical specification ไม่ใช่คำปรึกษากฎหมายหรือความเห็นทางกฎหมาย ก่อนเปิดใช้งานจริงต้องผ่านการตรวจโดยที่ปรึกษากฎหมายไทยและการยืนยันรูปแบบธุรกิจกับหน่วยงานกำกับที่เกี่ยวข้องตามความจำเป็น</w:t>
            </w:r>
          </w:p>
        </w:tc>
      </w:tr>
    </w:tbl>
    <w:p>
      <w:pPr>
        <w:pStyle w:val="Heading1"/>
      </w:pPr>
      <w:r>
        <w:t>1. Executive Summary &amp; Business Objectives</w:t>
      </w:r>
    </w:p>
    <w:p>
      <w:pPr>
        <w:pStyle w:val="Heading2"/>
      </w:pPr>
      <w:r>
        <w:t>1.1 Problem Statement</w:t>
      </w:r>
    </w:p>
    <w:p>
      <w:r>
        <w:rPr>
          <w:rFonts w:ascii="Noto Sans Thai" w:hAnsi="Noto Sans Thai" w:eastAsia="Noto Sans Thai" w:cs="Noto Sans Thai"/>
          <w:b w:val="0"/>
          <w:i w:val="0"/>
          <w:sz w:val="21"/>
        </w:rPr>
        <w:t>คนไทยจำนวนมากไม่มี “แผนที่” ที่รวมข้อมูลทรัพย์สิน หนี้สิน กรมธรรม์ สิทธิประโยชน์ และเจตนาสำคัญไว้ในที่เดียว เมื่อเกิดเหตุฉุกเฉินหรือเสียชีวิต ครอบครัวต้องค้นเอกสารและติดต่อหลายหน่วยงานภายใต้ข้อจำกัดด้านเวลา ขณะเดียวกันผู้ใช้ทั่วไปมี subscription fatigue ต่อแอปที่ไม่ได้ใช้ทุกวัน ทำให้โมเดลรายเดือนแบบ consumer-only มีแรงต้านสูง</w:t>
      </w:r>
    </w:p>
    <w:p>
      <w:pPr>
        <w:pStyle w:val="Heading2"/>
      </w:pPr>
      <w:r>
        <w:t>1.2 Core Product Thesis</w:t>
      </w:r>
    </w:p>
    <w:p>
      <w:r>
        <w:rPr>
          <w:rFonts w:ascii="Noto Sans Thai" w:hAnsi="Noto Sans Thai" w:eastAsia="Noto Sans Thai" w:cs="Noto Sans Thai"/>
          <w:b w:val="0"/>
          <w:i w:val="0"/>
          <w:sz w:val="21"/>
        </w:rPr>
        <w:t>สร้าง encrypted digital legacy vault ที่เก็บข้อมูลสำคัญแบบ client-side encryption และออกแบบ recovery ให้ครอบครัวเข้าถึงได้ภายใต้เงื่อนไขที่เจ้าของกำหนด โดยไม่ให้ platform สามารถอ่านข้อความใน vault ได้ตามปกติ จากนั้นสร้างรายได้จาก contextual monetization ที่ประมวลผลบนเครื่องผู้ใช้, explicit lead consent และ B2B2C sponsorship/white-label</w:t>
      </w:r>
    </w:p>
    <w:p>
      <w:pPr>
        <w:pStyle w:val="Heading2"/>
      </w:pPr>
      <w:r>
        <w:t>1.3 Business Objectives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ลด friction ในการเริ่มบันทึกทรัพย์สิน/หนี้สินด้วย Free Tier ที่ใช้งานได้จริงและไม่บังคับ subscription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เพิ่มความพร้อมของครอบครัวเมื่อเกิดเหตุฉุกเฉินหรือเสียชีวิต โดยจัดข้อมูลตามลำดับเวลาและสิทธิ์เข้าถึง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สร้าง coverage-gap insight โดยไม่ต้องส่งยอดสินทรัพย์/หนี้สินดิบไปยัง server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สร้าง high-intent lead เฉพาะเมื่อผู้ใช้ร้องขอและให้ consent แยกจากการใช้ vault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สร้างเครื่องมือ relationship layer สำหรับ licensed insurance agent / financial advisor และ corporate HR โดยไม่ให้ partner เข้าถึง plaintext vault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รักษา trust เป็น product moat: ไม่มี ad SDK, session replay หรือ third-party tracking ภายใน decrypted vault context</w:t>
      </w:r>
    </w:p>
    <w:p>
      <w:pPr>
        <w:pStyle w:val="Heading2"/>
      </w:pPr>
      <w:r>
        <w:t>1.4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83" w:lineRule="auto" w:after="0"/>
              <w:jc w:val="left"/>
            </w:pPr>
            <w:r>
              <w:rPr>
                <w:rFonts w:ascii="DejaVu Sans" w:hAnsi="DejaVu Sans" w:eastAsia="DejaVu Sans" w:cs="DejaVu Sans"/>
                <w:b/>
                <w:sz w:val="17"/>
              </w:rPr>
              <w:t>Metric</w:t>
            </w:r>
          </w:p>
        </w:tc>
        <w:tc>
          <w:tcPr>
            <w:tcW w:type="dxa" w:w="777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83" w:lineRule="auto" w:after="0"/>
              <w:jc w:val="left"/>
            </w:pPr>
            <w:r>
              <w:rPr>
                <w:rFonts w:ascii="DejaVu Sans" w:hAnsi="DejaVu Sans" w:eastAsia="DejaVu Sans" w:cs="DejaVu Sans"/>
                <w:b/>
                <w:sz w:val="17"/>
              </w:rPr>
              <w:t>Definition / Guardrail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Vault Activation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7"/>
              </w:rPr>
              <w:t>ผู้ใช้บันทึกอย่างน้อย 3 รายการ + ตั้ง emergency contact สำเร็จ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Legacy Readiness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7"/>
              </w:rPr>
              <w:t>สัดส่วนผู้ใช้ที่มี verifier, recovery kit/card และ heartbeat policy ครบ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Coverage Insight Completion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7"/>
              </w:rPr>
              <w:t>สัดส่วนผู้ใช้ที่คำนวณ coverage gap ใน client สำเร็จ โดยไม่มี raw financial values ใน analytics server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Consent-to-Lead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7"/>
              </w:rPr>
              <w:t>สัดส่วนผู้ใช้ที่กด Privacy-Limited Quote และให้ consent โดยชัดเจน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Recovery Success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7"/>
              </w:rPr>
              <w:t>อัตรา recovery ที่สำเร็จโดยไม่ต้อง support override และไม่มี unauthorized disclosure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Agent Retention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7"/>
              </w:rPr>
              <w:t>active sponsored clients / agent และ monthly returning agent usage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Security KPI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0 plaintext vault leaks; 100% security-sensitive actions in append-only audit log</w:t>
            </w:r>
          </w:p>
        </w:tc>
      </w:tr>
      <w:tr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Legacy Freshness</w:t>
            </w:r>
          </w:p>
        </w:tc>
        <w:tc>
          <w:tcPr>
            <w:tcW w:type="dxa" w:w="5083"/>
          </w:tcPr>
          <w:p>
            <w:r>
              <w:t>สัดส่วน vault ที่ trusted contacts/verifiers, insurance records, recovery card generation และ recovery-readiness review ยังอยู่ใน freshness window ที่กำหนด</w:t>
            </w:r>
          </w:p>
        </w:tc>
      </w:tr>
    </w:tbl>
    <w:p>
      <w:pPr>
        <w:spacing w:after="0"/>
      </w:pPr>
    </w:p>
    <w:p>
      <w:pPr>
        <w:pStyle w:val="Heading2"/>
      </w:pPr>
      <w:r>
        <w:t>1.5 Non-Goals / Explicit Exclusions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ไม่เป็นธนาคาร นายหน้าซื้อขายหลักทรัพย์ ผู้ดูแลสินทรัพย์ หรือ crypto custodian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ไม่เก็บรหัสผ่านธนาคาร OTP seed, private key หรือ crypto seed phrase เป็น supported data type ใน v1.1.1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ไม่ถือว่า beneficiary preference ในระบบเท่ากับการแก้ผู้รับผลประโยชน์กับบริษัทประกัน/PVD/provider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ไม่รับรองว่าพินัยกรรมที่สร้างจาก template จะใช้ได้ในทุกข้อเท็จจริง; product เป็น guided document workflow และต้องมี legal disclaimer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ไม่ให้ inactivity เพียงอย่างเดียวเป็นหลักฐานการเสียชีวิตหรือ trigger การเปิด Tier 2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ไม่รับค่าตอบแทนเป็นเปอร์เซ็นต์จากเบี้ยประกันหรือค่าว่าความใน v1.1.1 จนกว่าจะได้รับคำยืนยันด้าน licensing/ethics ที่เหมาะสม</w:t>
      </w:r>
    </w:p>
    <w:p>
      <w:pPr>
        <w:pStyle w:val="Heading1"/>
      </w:pPr>
      <w:r>
        <w:t>2. User Roles &amp;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83" w:lineRule="auto" w:after="0"/>
              <w:jc w:val="left"/>
            </w:pPr>
            <w:r>
              <w:rPr>
                <w:rFonts w:ascii="DejaVu Sans" w:hAnsi="DejaVu Sans" w:eastAsia="DejaVu Sans" w:cs="DejaVu Sans"/>
                <w:b/>
                <w:sz w:val="16"/>
              </w:rPr>
              <w:t>Role</w:t>
            </w:r>
          </w:p>
        </w:tc>
        <w:tc>
          <w:tcPr>
            <w:tcW w:type="dxa" w:w="403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83" w:lineRule="auto" w:after="0"/>
              <w:jc w:val="left"/>
            </w:pPr>
            <w:r>
              <w:rPr>
                <w:rFonts w:ascii="DejaVu Sans" w:hAnsi="DejaVu Sans" w:eastAsia="DejaVu Sans" w:cs="DejaVu Sans"/>
                <w:b/>
                <w:sz w:val="16"/>
              </w:rPr>
              <w:t>Primary Need</w:t>
            </w:r>
          </w:p>
        </w:tc>
        <w:tc>
          <w:tcPr>
            <w:tcW w:type="dxa" w:w="475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83" w:lineRule="auto" w:after="0"/>
              <w:jc w:val="left"/>
            </w:pPr>
            <w:r>
              <w:rPr>
                <w:rFonts w:ascii="DejaVu Sans" w:hAnsi="DejaVu Sans" w:eastAsia="DejaVu Sans" w:cs="DejaVu Sans"/>
                <w:b/>
                <w:sz w:val="16"/>
              </w:rPr>
              <w:t>Access Boundary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Vault Owner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6"/>
              </w:rPr>
              <w:t>จัดระเบียบทรัพย์สิน/หนี้สิน/กรมธรรม์/เจตนา และกำหนด recovery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6"/>
              </w:rPr>
              <w:t>อ่าน/แก้ plaintext vault บน trusted client; จัดการ keys/verifiers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Emergency Contact / Verifier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6"/>
              </w:rPr>
              <w:t>ช่วยยืนยันเหตุและเข้าถึงข้อมูลที่ owner อนุญาต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6"/>
              </w:rPr>
              <w:t>ไม่เห็น Tier 2 ก่อน threshold + release delay; ไม่มีสิทธิ์โดยลำพัง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Heir / Family Member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6"/>
              </w:rPr>
              <w:t>ค้นข้อมูลหลังเหตุฉุกเฉิน/เสียชีวิตและทำ checklist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6"/>
              </w:rPr>
              <w:t>เข้าถึงเฉพาะ tier ที่ถูกปลดล็อก; อาจไม่ใช่ verifier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Insurance Agent / Financial Advisor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6"/>
              </w:rPr>
              <w:t>ดูแลลูกค้า สร้าง invite และเป็น contact point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6"/>
              </w:rPr>
              <w:t>เห็น client relationship metadata เท่านั้น; ไม่เห็น plaintext vault; ไม่เป็น key-share holder โดย default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Corporate HR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6"/>
              </w:rPr>
              <w:t>อธิบาย benefits และช่วยพนักงานเตรียม beneficiary status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6"/>
              </w:rPr>
              <w:t>เห็นเฉพาะข้อมูล HR program ที่องค์กรเป็น controller/processor ตามขอบเขต ไม่เห็น personal vault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Service Partner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6"/>
              </w:rPr>
              <w:t>รับ lead ที่ผู้ใช้ยินยอม เช่น insurance/legal/funeral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6"/>
              </w:rPr>
              <w:t>รับ minimum necessary lead payload; ไม่มี vault access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Platform Ops / Support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6"/>
              </w:rPr>
              <w:t>ดูระบบ billing, delivery, security events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6"/>
              </w:rPr>
              <w:t>ไม่มี plaintext vault/MVK; support override ห้าม bypass cryptographic policy</w:t>
            </w:r>
          </w:p>
        </w:tc>
      </w:tr>
      <w:tr>
        <w:tc>
          <w:tcPr>
            <w:tcW w:type="dxa" w:w="3389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Temporary Delegate</w:t>
            </w:r>
          </w:p>
        </w:tc>
        <w:tc>
          <w:tcPr>
            <w:tcW w:type="dxa" w:w="3389"/>
          </w:tcPr>
          <w:p>
            <w:r>
              <w:t>เข้าถึงข้อมูลจำกัดเมื่อ owner มีภาวะไร้ความสามารถชั่วคราวตาม policy ที่ owner กำหนด</w:t>
            </w:r>
          </w:p>
        </w:tc>
        <w:tc>
          <w:tcPr>
            <w:tcW w:type="dxa" w:w="3389"/>
          </w:tcPr>
          <w:p>
            <w:r>
              <w:t>เข้าถึงเฉพาะ delegated scope/Tier 1 subset; ไม่มีสิทธิ์ Tier 2 estate vault โดยอัตโนมัติ</w:t>
            </w:r>
          </w:p>
        </w:tc>
      </w:tr>
    </w:tbl>
    <w:p>
      <w:pPr>
        <w:spacing w:after="0"/>
      </w:pPr>
    </w:p>
    <w:p>
      <w:pPr>
        <w:pStyle w:val="Heading2"/>
      </w:pPr>
      <w:r>
        <w:t>2.1 Product Trust Principles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Cryptographic authorization must match product authorization: ถ้า UI บอกว่า Tier 1 เท่านั้น กลไกกุญแจต้องทำให้ Tier 2 ถอดไม่ได้จริง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No single commercial partner is trusted with enough material to recover Tier 2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Consent is purpose-specific, versioned, revocable where applicable, and provable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Sensitive computation defaults to local processing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Every recovery path must be revocable/rotatable before an incident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No silent downgrade from zero-knowledge claims: feature ที่ต้องเปิดเผย plaintext ต้องระบุ scope และ consent อย่างตรงไปตรงมา</w:t>
      </w:r>
    </w:p>
    <w:p>
      <w:pPr>
        <w:pStyle w:val="Heading1"/>
      </w:pPr>
      <w:r>
        <w:t>3. Functional Requirements</w:t>
      </w:r>
    </w:p>
    <w:p>
      <w:pPr>
        <w:pStyle w:val="Heading2"/>
      </w:pPr>
      <w:r>
        <w:t>Module 1 - Freemium Vault &amp; Onboarding (Pre-Trigger Flow)</w:t>
      </w:r>
    </w:p>
    <w:p>
      <w:pPr>
        <w:pStyle w:val="Heading3"/>
      </w:pPr>
      <w:r>
        <w:t>FR-1.1 Tier &amp; Commercial Entitlement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83" w:lineRule="auto" w:after="0"/>
              <w:jc w:val="left"/>
            </w:pPr>
            <w:r>
              <w:rPr>
                <w:rFonts w:ascii="DejaVu Sans" w:hAnsi="DejaVu Sans" w:eastAsia="DejaVu Sans" w:cs="DejaVu Sans"/>
                <w:b/>
                <w:sz w:val="16"/>
              </w:rPr>
              <w:t>Tier</w:t>
            </w:r>
          </w:p>
        </w:tc>
        <w:tc>
          <w:tcPr>
            <w:tcW w:type="dxa" w:w="561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83" w:lineRule="auto" w:after="0"/>
              <w:jc w:val="left"/>
            </w:pPr>
            <w:r>
              <w:rPr>
                <w:rFonts w:ascii="DejaVu Sans" w:hAnsi="DejaVu Sans" w:eastAsia="DejaVu Sans" w:cs="DejaVu Sans"/>
                <w:b/>
                <w:sz w:val="16"/>
              </w:rPr>
              <w:t>Included</w:t>
            </w:r>
          </w:p>
        </w:tc>
        <w:tc>
          <w:tcPr>
            <w:tcW w:type="dxa" w:w="31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83" w:lineRule="auto" w:after="0"/>
              <w:jc w:val="left"/>
            </w:pPr>
            <w:r>
              <w:rPr>
                <w:rFonts w:ascii="DejaVu Sans" w:hAnsi="DejaVu Sans" w:eastAsia="DejaVu Sans" w:cs="DejaVu Sans"/>
                <w:b/>
                <w:sz w:val="16"/>
              </w:rPr>
              <w:t>Commercial Note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Free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6"/>
              </w:rPr>
              <w:t>ทรัพย์สิน/หนี้สินสูงสุด 5 รายการ, basic will guide, emergency contact 1 คน, Email notification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6"/>
              </w:rPr>
              <w:t>ฟรีตลอดชีพสำหรับ core vault เพื่อ drive adoption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Lifetime Vault Pass - 990 THB one-time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Unlimited items, encrypted attachments, recovery kit/card initial issue, advanced document packs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6"/>
              </w:rPr>
              <w:t>ราคาเป็น hypothesis; ไม่รวม recurring telecom-heavy continuity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Continuity Service - 299 THB/year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Dead-Man heartbeat orchestration, LINE/SMS/IVR escalation, advanced verifier workflow, continuity operations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6"/>
              </w:rPr>
              <w:t>Optional recurring service แยกจากสิทธิ์เข้าถึง vault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B2B Sponsored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6"/>
              </w:rPr>
              <w:t>สิทธิ์ตาม package ที่ agent/employer sponsor ให้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6"/>
              </w:rPr>
              <w:t>Sponsor ไม่มีสิทธิ์ plaintext โดยอัตโนมัติ</w:t>
            </w:r>
          </w:p>
        </w:tc>
      </w:tr>
    </w:tbl>
    <w:p>
      <w:pPr>
        <w:spacing w:after="0"/>
      </w:pPr>
    </w:p>
    <w:p>
      <w:pPr>
        <w:pStyle w:val="Heading3"/>
      </w:pPr>
      <w:r>
        <w:t>FR-1.2 Asset &amp; Liability Mapping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Bank accounts: institution, masked account identifier, branch/contact guidance; ห้ามเก็บ login password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Mutual funds / stocks / brokerage / digital assets: provider, account reference, asset class, custody location; ห้าม seed/private key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Real estate: title deed reference, province, ownership notes, encrypted attachment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Insurance: life, health, MRTA, group insurance, policy number, insurer, beneficiary note, agent contact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Liabilities: mortgage, vehicle loan, personal loan, credit facilities, creditor contact, optional outstanding bracket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Other entitlements: PVD, Social Security, employer benefits, cooperative, pension/benefit programs</w:t>
      </w:r>
    </w:p>
    <w:p>
      <w:pPr>
        <w:pStyle w:val="Heading3"/>
      </w:pPr>
      <w:r>
        <w:t>FR-1.3 Thai Will Preparation</w:t>
      </w:r>
    </w:p>
    <w:p>
      <w:r>
        <w:rPr>
          <w:rFonts w:ascii="Noto Sans Thai" w:hAnsi="Noto Sans Thai" w:eastAsia="Noto Sans Thai" w:cs="Noto Sans Thai"/>
          <w:b w:val="0"/>
          <w:i w:val="0"/>
          <w:sz w:val="21"/>
        </w:rPr>
        <w:t>Mode A - Civil and Commercial Code Section 1657: “Handwritten Will Guide”</w:t>
      </w:r>
    </w:p>
    <w:p>
      <w:pPr>
        <w:pStyle w:val="ListBullet2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ระบบสร้าง guidance sheet / handwriting overlay เท่านั้น และต้องขึ้นชัดเจนว่าไฟล์ที่สร้างไม่ใช่ตัวพินัยกรรมฉบับสมบูรณ์ตามโหมดนี้</w:t>
      </w:r>
    </w:p>
    <w:p>
      <w:pPr>
        <w:pStyle w:val="ListBullet2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ผู้ทำพินัยกรรมต้องเขียนด้วยมือตนเองทั้งหมด รวมข้อความ วัน เดือน ปี และลายมือชื่อ</w:t>
      </w:r>
    </w:p>
    <w:p>
      <w:pPr>
        <w:pStyle w:val="ListBullet2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การแก้ไข/ขูดลบ/ตกเติมต้องทำตาม formalities ที่กฎหมายกำหนด; UI ต้องเตือนก่อน export</w:t>
      </w:r>
    </w:p>
    <w:p>
      <w:pPr>
        <w:pStyle w:val="ListBullet2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ห้ามมี CTA ที่ทำให้ผู้ใช้เข้าใจว่า “พิมพ์แล้วเซ็น” ใช้แทน 1657 ได้</w:t>
      </w:r>
    </w:p>
    <w:p>
      <w:r>
        <w:rPr>
          <w:rFonts w:ascii="Noto Sans Thai" w:hAnsi="Noto Sans Thai" w:eastAsia="Noto Sans Thai" w:cs="Noto Sans Thai"/>
          <w:b w:val="0"/>
          <w:i w:val="0"/>
          <w:sz w:val="21"/>
        </w:rPr>
        <w:t>Mode B - Civil and Commercial Code Section 1656: “Ordinary Will Document Pack”</w:t>
      </w:r>
    </w:p>
    <w:p>
      <w:pPr>
        <w:pStyle w:val="ListBullet2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สร้าง PDF/print pack ที่มีวัน เดือน ปี, ช่องลายมือชื่อผู้ทำพินัยกรรม และพยานอย่างน้อย 2 คน</w:t>
      </w:r>
    </w:p>
    <w:p>
      <w:pPr>
        <w:pStyle w:val="ListBullet2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ขั้นตอน signing guide ต้องระบุว่าผู้ทำพินัยกรรมลงลายมือชื่อต่อหน้าพยานอย่างน้อย 2 คนพร้อมกัน และพยานลงลายมือชื่อรับรองในขณะนั้น</w:t>
      </w:r>
    </w:p>
    <w:p>
      <w:pPr>
        <w:pStyle w:val="ListBullet2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ระบบเก็บ legal template version และ effective date เพื่อ trace ว่าเอกสารสร้างจาก template ใด</w:t>
      </w:r>
    </w:p>
    <w:p>
      <w:pPr>
        <w:pStyle w:val="ListBullet2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ก่อน production ต้องมี Thai counsel sign-off ต่อ template และ disclaimer</w:t>
      </w:r>
    </w:p>
    <w:p>
      <w:pPr>
        <w:pStyle w:val="Heading3"/>
      </w:pPr>
      <w:r>
        <w:t>FR-1.4 Emergency Capsule &amp; Living Will Separation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83" w:lineRule="auto" w:after="0"/>
              <w:jc w:val="left"/>
            </w:pPr>
            <w:r>
              <w:rPr>
                <w:rFonts w:ascii="DejaVu Sans" w:hAnsi="DejaVu Sans" w:eastAsia="DejaVu Sans" w:cs="DejaVu Sans"/>
                <w:b/>
                <w:sz w:val="16"/>
              </w:rPr>
              <w:t>Data Class</w:t>
            </w:r>
          </w:p>
        </w:tc>
        <w:tc>
          <w:tcPr>
            <w:tcW w:type="dxa" w:w="446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83" w:lineRule="auto" w:after="0"/>
              <w:jc w:val="left"/>
            </w:pPr>
            <w:r>
              <w:rPr>
                <w:rFonts w:ascii="DejaVu Sans" w:hAnsi="DejaVu Sans" w:eastAsia="DejaVu Sans" w:cs="DejaVu Sans"/>
                <w:b/>
                <w:sz w:val="16"/>
              </w:rPr>
              <w:t>Examples</w:t>
            </w:r>
          </w:p>
        </w:tc>
        <w:tc>
          <w:tcPr>
            <w:tcW w:type="dxa" w:w="432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83" w:lineRule="auto" w:after="0"/>
              <w:jc w:val="left"/>
            </w:pPr>
            <w:r>
              <w:rPr>
                <w:rFonts w:ascii="DejaVu Sans" w:hAnsi="DejaVu Sans" w:eastAsia="DejaVu Sans" w:cs="DejaVu Sans"/>
                <w:b/>
                <w:sz w:val="16"/>
              </w:rPr>
              <w:t>Handling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Self-reported emergency info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allergies, critical medication, major condition, emergency contacts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6"/>
              </w:rPr>
              <w:t>Tier 1; แสดงคำเตือนให้บุคลากรการแพทย์ verify independently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Living Will / Advance Care Plan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6"/>
              </w:rPr>
              <w:t>หนังสือแสดงเจตนาตาม พ.ร.บ.สุขภาพแห่งชาติ ม.12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6"/>
              </w:rPr>
              <w:t>เก็บเป็น document + metadata; ห้ามตีความเป็น generic DNR สำหรับทุกเหตุฉุกเฉิน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Funeral / cultural preferences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6"/>
              </w:rPr>
              <w:t>รูปแบบงานศพ, ศาสนา/ความเชื่อ, การลอยอังคาร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76" w:lineRule="auto"/>
              <w:jc w:val="left"/>
            </w:pPr>
            <w:r>
              <w:rPr>
                <w:rFonts w:ascii="Noto Sans Thai" w:hAnsi="Noto Sans Thai" w:eastAsia="Noto Sans Thai" w:cs="Noto Sans Thai"/>
                <w:sz w:val="16"/>
              </w:rPr>
              <w:t>Tier 1; อาจเป็น sensitive personal data และต้องได้รับการคุ้มครองตาม PDPA</w:t>
            </w:r>
          </w:p>
        </w:tc>
      </w:tr>
    </w:tbl>
    <w:p>
      <w:pPr>
        <w:spacing w:after="0"/>
      </w:pPr>
    </w:p>
    <w:p>
      <w:pPr>
        <w:pStyle w:val="Heading3"/>
      </w:pPr>
      <w:r>
        <w:t>FR-1.5 Recovery Readiness Setup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Owner ต้องตั้ง Primary Trusted Person และ Independent Backup Trusted Person สำหรับ Tier 2 recovery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Agent สามารถเป็น verifier/share recipient ได้เฉพาะเมื่อ owner เลือก explicit และระบบแสดง conflict-of-interest notice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รองรับ replace verifier, rotate share, revoke lost card, reissue recovery kit และ invalidate prior generation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แสดง Readiness Score แบบ client-side: verifier completeness, stale contact, card generation, last heartbeat, document freshness</w:t>
      </w:r>
    </w:p>
    <w:p>
      <w:pPr>
        <w:pStyle w:val="Heading3"/>
      </w:pPr>
      <w:r>
        <w:t>FR-1.6 Owner Account &amp; Device Recovery</w:t>
      </w:r>
    </w:p>
    <w:p>
      <w:pPr>
        <w:spacing w:line="283" w:lineRule="auto"/>
      </w:pPr>
      <w:r>
        <w:rPr>
          <w:rFonts w:ascii="DejaVu Sans" w:hAnsi="DejaVu Sans" w:eastAsia="DejaVu Sans" w:cs="DejaVu Sans"/>
        </w:rPr>
        <w:t>Owner recovery MUST NOT create a platform-admin reset path that can reveal plaintext vault content or recover K_TIER1/K_TIER2 without owner-held recovery material.</w:t>
      </w:r>
    </w:p>
    <w:p>
      <w:pPr>
        <w:pStyle w:val="ListBullet"/>
      </w:pPr>
      <w:r>
        <w:t>รองรับ trusted-device enrollment, lost-device revocation, passkey replacement, owner recovery kit, recovery-key rotation และ re-wrap ของ Tier keys หลัง credential recovery</w:t>
      </w:r>
    </w:p>
    <w:p>
      <w:pPr>
        <w:pStyle w:val="ListBullet"/>
      </w:pPr>
      <w:r>
        <w:t>การเพิ่มอุปกรณ์ใหม่ต้องแจ้งเตือน owner ผ่านช่องทางที่ตั้งไว้ และ security-sensitive device enrollment ต้องใช้ phishing-resistant authentication/MFA ตาม policy</w:t>
      </w:r>
    </w:p>
    <w:p>
      <w:pPr>
        <w:pStyle w:val="ListBullet"/>
      </w:pPr>
      <w:r>
        <w:t>อุปกรณ์ที่ถูก revoke ต้องไม่สามารถถอดรหัสข้อมูลที่ re-key/re-wrap หลังการ revoke ได้</w:t>
      </w:r>
    </w:p>
    <w:p>
      <w:pPr>
        <w:pStyle w:val="ListBullet"/>
      </w:pPr>
      <w:r>
        <w:t>Support staff อาจช่วยด้าน account routing/identity workflow ได้ แต่ MUST NOT ได้รับ recovery material ที่เพียงพอในการถอด vault</w:t>
      </w:r>
    </w:p>
    <w:p>
      <w:pPr>
        <w:pStyle w:val="Heading3"/>
      </w:pPr>
      <w:r>
        <w:t>FR-1.7 Verifier Identity Assurance</w:t>
      </w:r>
    </w:p>
    <w:p>
      <w:pPr/>
      <w:r>
        <w:t>ระบบต้องแยก authentication (ควบคุม account/credential) ออกจาก identity proofing (บุคคลนั้นคือใคร) และเก็บ assurance level ของ verifier แยกจาก auth method.</w:t>
      </w:r>
    </w:p>
    <w:p>
      <w:pPr>
        <w:pStyle w:val="ListBullet"/>
        <w:spacing w:line="283" w:lineRule="auto"/>
      </w:pPr>
      <w:r>
        <w:rPr>
          <w:rFonts w:ascii="DejaVu Sans" w:hAnsi="DejaVu Sans" w:eastAsia="DejaVu Sans" w:cs="DejaVu Sans"/>
        </w:rPr>
        <w:t>Baseline assurance levels: IAL-0 contact verified, IAL-1 owner-vouched verifier, IAL-2 regulated/government-backed identity verification where available, IAL-3 enhanced/manual review when required.</w:t>
      </w:r>
    </w:p>
    <w:p>
      <w:pPr>
        <w:pStyle w:val="ListBullet"/>
      </w:pPr>
      <w:r>
        <w:t>Tier 2 policy ต้องสามารถกำหนด minimum identity assurance ได้โดยไม่ hard-code ผู้ให้บริการรายเดียว; provider integration เป็น ADR/implementation decision.</w:t>
      </w:r>
    </w:p>
    <w:p>
      <w:pPr>
        <w:pStyle w:val="Heading2"/>
      </w:pPr>
      <w:r>
        <w:t>Module 2 - Client-Side Risk Engine &amp; Contextual Monetization</w:t>
      </w:r>
    </w:p>
    <w:p>
      <w:pPr>
        <w:pStyle w:val="Heading3"/>
      </w:pPr>
      <w:r>
        <w:t>FR-2.1 Local Coverage Gap Calculation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 w:cs="DejaVu Sans Mono"/>
                <w:sz w:val="16"/>
              </w:rPr>
              <w:t>Coverage Gap =</w:t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t xml:space="preserve">  (Total Liabilities + Estimated Family Living Cost)</w:t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t xml:space="preserve">  - (Liquid Assets + Existing Life/MRTA Coverage)</w:t>
            </w:r>
          </w:p>
        </w:tc>
      </w:tr>
    </w:tbl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คำนวณบน browser/WebAssembly หรือ trusted client เท่านั้นใน v1.1.1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ห้ามส่ง raw balances, raw liabilities หรือ policy face amounts ไป analytics/ads server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server อาจรับเฉพาะ privacy-safe event เช่น GAP_CALCULATED=true และ coarse bucket เฉพาะเมื่อ policy/consent อนุญาต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สูตรและ assumptions ต้องมี version เพื่อ reproduce result</w:t>
      </w:r>
    </w:p>
    <w:p>
      <w:pPr>
        <w:pStyle w:val="Heading3"/>
      </w:pPr>
      <w:r>
        <w:t>FR-2.2 Contextual Native Ad Matching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Client ดาวน์โหลด signed static ad catalog พร้อม eligibility metadata และ expiry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Rule matching เกิดใน client; server ไม่รู้ว่า rule ใด match จนกว่าผู้ใช้กด CTA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ตัวอย่าง Rule A: มี mortgage และไม่มี recorded MRTA/term coverage -&gt; แสดง educational comparison card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ตัวอย่าง Rule B: funeral preference เกี่ยวข้องกับลอยอังคาร/alternative wreath -&gt; แสดง service directory card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ห้ามฝัง third-party ad SDK, tracking pixel หรือ session replay ใน vault origin</w:t>
      </w:r>
    </w:p>
    <w:p>
      <w:pPr>
        <w:pStyle w:val="Heading3"/>
      </w:pPr>
      <w:r>
        <w:t>FR-2.3 Privacy-Limited Quote / Explicit Lead Generation</w:t>
      </w:r>
    </w:p>
    <w:p>
      <w:r>
        <w:rPr>
          <w:rFonts w:ascii="Noto Sans Thai" w:hAnsi="Noto Sans Thai" w:eastAsia="Noto Sans Thai" w:cs="Noto Sans Thai"/>
          <w:b w:val="0"/>
          <w:i w:val="0"/>
          <w:sz w:val="21"/>
        </w:rPr>
        <w:t xml:space="preserve">ข้อความ CTA หลัก: </w:t>
      </w:r>
      <w:r>
        <w:rPr>
          <w:rFonts w:ascii="Noto Sans Thai" w:hAnsi="Noto Sans Thai" w:eastAsia="Noto Sans Thai" w:cs="Noto Sans Thai"/>
          <w:b/>
          <w:i w:val="0"/>
          <w:sz w:val="21"/>
        </w:rPr>
        <w:t>“ขอข้อเสนอโดยเปิดเผยเฉพาะข้อมูลที่จำเป็น”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ก่อนส่ง lead แสดง purpose, partner category, fields ที่จะส่ง, retention และวิธีถอน consent/ยกเลิกการติดต่อ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Lead payload ใช้ age bracket / gap bracket / product intent; contact ถูกเข้ารหัสและแยกจาก vault identity เท่าที่เป็นไปได้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Lead domain ห้ามมี user_id หรือ foreign key ตรงไปยัง encrypted vault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Consent receipt ต้องเก็บ consent text version, purposes, granted_at, expiry และ revocation state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Partner รับข้อมูลเท่าที่จำเป็นหลัง assignment เท่านั้น</w:t>
      </w:r>
    </w:p>
    <w:p>
      <w:pPr>
        <w:pStyle w:val="Heading2"/>
      </w:pPr>
      <w:r>
        <w:t>Module 3 - B2B2C Agent Portal &amp; Corporate HR</w:t>
      </w:r>
    </w:p>
    <w:p>
      <w:pPr>
        <w:pStyle w:val="Heading3"/>
      </w:pPr>
      <w:r>
        <w:t>FR-3.1 Agent White-Label / Relationship Portal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Agent package 490-990 THB/month (pricing hypothesis) สร้าง invite link / sponsored entitlement ได้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Agent Sticky Card แสดงชื่อ รูป เลขใบอนุญาตที่ verified/last-checked, โทร/LINE และองค์กร/บริษัทตามที่เปิดเผย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Agent dashboard เห็น client relationship status เช่น invited, activated, readiness-complete, last relationship touchpoint โดยไม่เห็น vault content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การพิมพ์ข้อมูล agent บน physical emergency card ต้อง owner opt-in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ระบบต้องรองรับ agent relationship termination; เมื่อ terminate card/dashboard ต้อง update โดยไม่ทำลาย vault recovery</w:t>
      </w:r>
    </w:p>
    <w:p>
      <w:pPr>
        <w:pStyle w:val="Heading3"/>
      </w:pPr>
      <w:r>
        <w:t>FR-3.2 Corporate HR Bereavement &amp; Benefits Hub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HR สามารถ import benefit catalog เช่น group insurance, PVD, Social Security guidance, internal bereavement benefit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ผู้ใช้เห็น “Beneficiary Planning &amp; Status Hub” แทนการอ้างว่าระบบเปลี่ยน beneficiary ให้ provider แล้ว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สถานะขั้นต่ำ: PREFERENCE_ONLY, DOCUMENT_GENERATED, SUBMISSION_PENDING, SUBMITTED_TO_PROVIDER, CONFIRMED_BY_PROVIDER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ระบบต้องแยก employer-controlled data กับ private vault data ทั้ง logical access และ consent/purpose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Employer ห้ามเข้าถึง will, asset balances, funeral preference หรือ medical information ใน personal vault เว้นแต่มีฐานกฎหมาย/consent ที่เฉพาะและออกแบบแยกต่างหาก</w:t>
      </w:r>
    </w:p>
    <w:p>
      <w:pPr>
        <w:pStyle w:val="Heading2"/>
      </w:pPr>
      <w:r>
        <w:t>Module 4 - Post-Trigger / Bereavement Flow</w:t>
      </w:r>
    </w:p>
    <w:p>
      <w:pPr>
        <w:pStyle w:val="Heading3"/>
      </w:pPr>
      <w:r>
        <w:t>FR-4.1 Dual-Path Trigger Mechanism</w:t>
      </w:r>
    </w:p>
    <w:p>
      <w:pPr>
        <w:spacing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Path A - Heartbeat / Inactivity Escalation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 w:cs="DejaVu Sans Mono"/>
                <w:sz w:val="16"/>
              </w:rPr>
              <w:t>ACTIVE</w:t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t xml:space="preserve">  -&gt; HEARTBEAT_MISSED</w:t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t xml:space="preserve">  -&gt; OWNER_ESCALATION (LINE/Email)</w:t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t xml:space="preserve">  -&gt; SMS_ESCALATION (e.g., D+3)</w:t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t xml:space="preserve">  -&gt; IVR_ESCALATION (e.g., D+7)</w:t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t xml:space="preserve">  -&gt; VERIFIER_CONTACTED (e.g., D+14)</w:t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t xml:space="preserve">  -&gt; DEATH_VERIFICATION_PENDING</w:t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t>IMPORTANT: inactivity alone MUST NOT unlock Tier 2.</w:t>
            </w:r>
          </w:p>
        </w:tc>
      </w:tr>
    </w:tbl>
    <w:p>
      <w:pPr>
        <w:spacing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Path B - Heir Emergency Scan</w:t>
      </w:r>
    </w:p>
    <w:p>
      <w:pPr>
        <w:pStyle w:val="ListBullet2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Heir scans NFC/QR and opens card-specific recovery route</w:t>
      </w:r>
    </w:p>
    <w:p>
      <w:pPr>
        <w:pStyle w:val="ListBullet2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Card route identifies card generation and checks revocation before any recovery material is used</w:t>
      </w:r>
    </w:p>
    <w:p>
      <w:pPr>
        <w:pStyle w:val="ListBullet2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Heir/Verifier completes authentication challenge; platform creates unlock_request</w:t>
      </w:r>
    </w:p>
    <w:p>
      <w:pPr>
        <w:pStyle w:val="ListBullet2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Owner receives all-channel alert and can cancel during pending/release-delay state if alive</w:t>
      </w:r>
    </w:p>
    <w:p>
      <w:pPr>
        <w:pStyle w:val="Heading3"/>
      </w:pPr>
      <w:r>
        <w:t>FR-4.2 Two-Tier Access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83" w:lineRule="auto" w:after="0"/>
              <w:jc w:val="left"/>
            </w:pPr>
            <w:r>
              <w:rPr>
                <w:rFonts w:ascii="DejaVu Sans" w:hAnsi="DejaVu Sans" w:eastAsia="DejaVu Sans" w:cs="DejaVu Sans"/>
                <w:b/>
                <w:sz w:val="16"/>
              </w:rPr>
              <w:t>Tier</w:t>
            </w:r>
          </w:p>
        </w:tc>
        <w:tc>
          <w:tcPr>
            <w:tcW w:type="dxa" w:w="46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83" w:lineRule="auto" w:after="0"/>
              <w:jc w:val="left"/>
            </w:pPr>
            <w:r>
              <w:rPr>
                <w:rFonts w:ascii="DejaVu Sans" w:hAnsi="DejaVu Sans" w:eastAsia="DejaVu Sans" w:cs="DejaVu Sans"/>
                <w:b/>
                <w:sz w:val="16"/>
              </w:rPr>
              <w:t>Content</w:t>
            </w:r>
          </w:p>
        </w:tc>
        <w:tc>
          <w:tcPr>
            <w:tcW w:type="dxa" w:w="432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83" w:lineRule="auto" w:after="0"/>
              <w:jc w:val="left"/>
            </w:pPr>
            <w:r>
              <w:rPr>
                <w:rFonts w:ascii="DejaVu Sans" w:hAnsi="DejaVu Sans" w:eastAsia="DejaVu Sans" w:cs="DejaVu Sans"/>
                <w:b/>
                <w:sz w:val="16"/>
              </w:rPr>
              <w:t>Release Policy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Tier 1 - Emergency Capsule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emergency contacts, self-reported health summary, Living Will document reference, funeral instructions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Card recovery + designated Tier 1 verifier/auth flow; cryptographically reveals K_TIER1 only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Tier 2 - Estate Vault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assets, liabilities, insurance, will, claim documents, encrypted attachments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2-of-3 recovery approval/key shares + death verification policy + 48-hour release delay; reveals K_TIER2 only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83" w:lineRule="auto"/>
            </w:pPr>
            <w:r>
              <w:rPr>
                <w:rFonts w:ascii="DejaVu Sans" w:hAnsi="DejaVu Sans" w:eastAsia="DejaVu Sans" w:cs="DejaVu Sans"/>
                <w:b/>
                <w:i w:val="0"/>
                <w:sz w:val="21"/>
              </w:rPr>
              <w:t xml:space="preserve">Security Invariant: </w:t>
            </w:r>
            <w:r>
              <w:rPr>
                <w:rFonts w:ascii="DejaVu Sans" w:hAnsi="DejaVu Sans" w:eastAsia="DejaVu Sans" w:cs="DejaVu Sans"/>
                <w:b w:val="0"/>
                <w:i w:val="0"/>
                <w:sz w:val="21"/>
              </w:rPr>
              <w:t>Successful Tier 1 recovery must never provide cryptographic material sufficient to derive or decrypt Tier 2. UI hiding is not considered access control.</w:t>
            </w:r>
          </w:p>
        </w:tc>
      </w:tr>
    </w:tbl>
    <w:p>
      <w:pPr>
        <w:pStyle w:val="Heading3"/>
      </w:pPr>
      <w:r>
        <w:t>FR-4.3 Unlock Approval &amp; Release Delay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ทุก approval ผูกกับ unlock_request_id และ challenge เฉพาะ request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approval หมดอายุเมื่อ request ถูก cancel/expire/complete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2-of-3 threshold default: Platform Escrow + Primary Trusted Person + Independent Backup Trusted Person; ต้องมี 2 components ตาม policy ที่กำหนด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48-hour period เรียกว่า RELEASE_DELAY_48H ไม่ใช่ cryptographic time-lock เว้นแต่มี cryptographic primitive บังคับจริง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Owner cancellation ระหว่าง release delay ต้อง invalidate server release token/share delivery สำหรับ request นั้น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Support staff ไม่มีปุ่ม bypass threshold; emergency override หากมีในอนาคตต้องเป็น separate policy with legal/security design review</w:t>
      </w:r>
    </w:p>
    <w:p>
      <w:pPr>
        <w:pStyle w:val="Heading3"/>
      </w:pPr>
      <w:r>
        <w:t>FR-4.4 Stage-Based Bereavement Dashboard</w:t>
      </w:r>
    </w:p>
    <w:p>
      <w:pPr>
        <w:spacing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Stage A - Immediate Crisis (first ~72 hours)</w:t>
      </w:r>
    </w:p>
    <w:p>
      <w:pPr>
        <w:pStyle w:val="ListBullet2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funeral / cultural instructions</w:t>
      </w:r>
    </w:p>
    <w:p>
      <w:pPr>
        <w:pStyle w:val="ListBullet2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family/agent emergency contact actions</w:t>
      </w:r>
    </w:p>
    <w:p>
      <w:pPr>
        <w:pStyle w:val="ListBullet2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benefit checklist พร้อม eligibility caveat เช่น Social Security funeral benefit ตามสถานะผู้ประกันตนและเงื่อนไขที่ใช้บังคับ</w:t>
      </w:r>
    </w:p>
    <w:p>
      <w:pPr>
        <w:pStyle w:val="ListBullet2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optional at-need funeral service directory / user-requested lead</w:t>
      </w:r>
    </w:p>
    <w:p>
      <w:pPr>
        <w:spacing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Stage B - Estate Settlement</w:t>
      </w:r>
    </w:p>
    <w:p>
      <w:pPr>
        <w:pStyle w:val="ListBullet2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asset/liability interactive checklist</w:t>
      </w:r>
    </w:p>
    <w:p>
      <w:pPr>
        <w:pStyle w:val="ListBullet2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claim packet builder and document status</w:t>
      </w:r>
    </w:p>
    <w:p>
      <w:pPr>
        <w:pStyle w:val="ListBullet2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guided insurance discovery: policies recorded in vault + OIC Connect “My Legacy” handoff for additional policies</w:t>
      </w:r>
    </w:p>
    <w:p>
      <w:pPr>
        <w:pStyle w:val="ListBullet2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PVD/employer/Social Security claim guidance with provider-specific status</w:t>
      </w:r>
    </w:p>
    <w:p>
      <w:pPr>
        <w:pStyle w:val="ListBullet2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probate / estate administrator legal service directory; legal engagement and fee paid directly between client and law firm where applicable</w:t>
      </w:r>
    </w:p>
    <w:p>
      <w:pPr>
        <w:pStyle w:val="Heading3"/>
      </w:pPr>
      <w:r>
        <w:t>FR-4.5 OIC My Legacy Guided Handoff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แสดง OIC My Legacy เป็น official external discovery route สำหรับทายาทหลังเสียชีวิต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v1.1.1 ไม่สมมติว่ามี public integration API; ใช้ guided handoff/deep link + checklist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เก็บเพียง status ว่า user/heir เปิด flow หรือบันทึกผลด้วยตนเอง เว้นแต่มี official API/agreement ในอนาคต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ข้อความ product ต้องไม่อ้างว่า vault เป็นฐานข้อมูลกรมธรรม์ของประเทศหรือแทนระบบ คปภ.</w:t>
      </w:r>
    </w:p>
    <w:p>
      <w:pPr>
        <w:pStyle w:val="Heading3"/>
      </w:pPr>
      <w:r>
        <w:t>FR-4.6 Disputed Unlock &amp; Security Freeze</w:t>
      </w:r>
    </w:p>
    <w:p>
      <w:pPr/>
      <w:r>
        <w:t>Unlock request ต้องเข้าสู่ DISPUTED / SECURITY_FREEZE เมื่อพบ conflicting verifier decisions, owner-alive response, suspected forged evidence, reported coercion, card compromise หรือ high-confidence account-takeover signal.</w:t>
      </w:r>
    </w:p>
    <w:p>
      <w:pPr>
        <w:pStyle w:val="ListBullet"/>
        <w:spacing w:line="283" w:lineRule="auto"/>
      </w:pPr>
      <w:r>
        <w:rPr>
          <w:rFonts w:ascii="DejaVu Sans" w:hAnsi="DejaVu Sans" w:eastAsia="DejaVu Sans" w:cs="DejaVu Sans"/>
        </w:rPr>
        <w:t>SECURITY_FREEZE MUST block automatic escrow/key release and MUST pause release-delay completion.</w:t>
      </w:r>
    </w:p>
    <w:p>
      <w:pPr>
        <w:pStyle w:val="ListBullet"/>
      </w:pPr>
      <w:r>
        <w:t>การออกจาก SECURITY_FREEZE ต้องผ่าน explicit resolution policy, evidence review และ append-only audit event; support/admin ไม่สามารถ bypass cryptographic threshold ได้</w:t>
      </w:r>
    </w:p>
    <w:p>
      <w:pPr>
        <w:pStyle w:val="ListBullet"/>
      </w:pPr>
      <w:r>
        <w:t>Competing unlock requests สำหรับ vault เดียวกันต้องถูก correlated และอาจ trigger freeze ตาม policy.</w:t>
      </w:r>
    </w:p>
    <w:p>
      <w:pPr>
        <w:pStyle w:val="Heading3"/>
      </w:pPr>
      <w:r>
        <w:t>FR-4.7 Incapacity / Temporary Delegated Access</w:t>
      </w:r>
    </w:p>
    <w:p>
      <w:pPr/>
      <w:r>
        <w:t>รองรับ owner-defined temporary delegate สำหรับกรณี hospitalization, incapacity หรือเหตุฉุกเฉินที่ owner ยังไม่เสียชีวิต โดยเป็น flow แยกจาก post-death estate unlock.</w:t>
      </w:r>
    </w:p>
    <w:p>
      <w:pPr>
        <w:pStyle w:val="ListBullet"/>
      </w:pPr>
      <w:r>
        <w:t>Delegated access ต้องเป็น least-privilege, time-bounded, revocable และจำกัดเฉพาะ data subset ที่ owner กำหนด; ไม่ให้ Tier 2 estate access โดยอัตโนมัติ.</w:t>
      </w:r>
    </w:p>
    <w:p>
      <w:pPr>
        <w:pStyle w:val="ListBullet"/>
      </w:pPr>
      <w:r>
        <w:t>เอกสารหรือสิทธิทางกฎหมาย เช่น power of attorney/healthcare authority ต้องถูกนำเสนอเป็น document/reference status เท่านั้นจนกว่าจะผ่าน Thai legal review และ verification policy ที่เหมาะสม.</w:t>
      </w:r>
    </w:p>
    <w:p>
      <w:pPr>
        <w:pStyle w:val="Heading2"/>
      </w:pPr>
      <w:r>
        <w:t>Module 5 - Recovery Asset Lifecycle &amp; Security Administration</w:t>
      </w:r>
    </w:p>
    <w:p>
      <w:pPr>
        <w:pStyle w:val="Heading3"/>
      </w:pPr>
      <w:r>
        <w:t>FR-5.1 Physical Card / Recovery Package Lifecycle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QR/NFC stores opaque/encrypted recovery package + card_id + generation, not a plain reusable share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Owner สามารถ revoke card ได้ทันทีจาก authenticated session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Reissue increments generation and invalidates prior package server-side; app warns that photographed old material may remain a threat until key/share rotation completes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Lost-card workflow recommends share rotation, not merely disabling the URL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Physical card has no plaintext medical or financial data unless owner explicitly chooses a limited printed field</w:t>
      </w:r>
    </w:p>
    <w:p>
      <w:pPr>
        <w:pStyle w:val="Heading3"/>
      </w:pPr>
      <w:r>
        <w:t>FR-5.2 Verifier Lifecycle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Invite, accept, identity/auth setup, periodic contact revalidation, revoke, replace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No persistent has_approved_unlock flag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Every verifier action creates append-only security event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If verifier is an insurance agent or partner, UI requires explicit owner acknowledgement and independent backup verifier</w:t>
      </w:r>
    </w:p>
    <w:p>
      <w:pPr>
        <w:pStyle w:val="Heading3"/>
      </w:pPr>
      <w:r>
        <w:t>FR-5.3 Vault Portability &amp; Service Sunset</w:t>
      </w:r>
    </w:p>
    <w:p>
      <w:pPr/>
      <w:r>
        <w:t>Owner ต้อง export portable encrypted recovery bundle ได้โดยไม่ต้องเปิดเผย plaintext ให้ platform และ bundle ต้องมีข้อมูลเพียงพอสำหรับ independent recovery ตาม format/version ที่ document ไว้.</w:t>
      </w:r>
    </w:p>
    <w:p>
      <w:pPr>
        <w:pStyle w:val="ListBullet"/>
      </w:pPr>
      <w:r>
        <w:t>Export bundle baseline: encrypted vault objects, attachments manifest, crypto/version manifest, recovery metadata, verifier/card generation summary และ human-readable recovery instructions.</w:t>
      </w:r>
    </w:p>
    <w:p>
      <w:pPr>
        <w:pStyle w:val="ListBullet"/>
        <w:spacing w:line="283" w:lineRule="auto"/>
      </w:pPr>
      <w:r>
        <w:rPr>
          <w:rFonts w:ascii="DejaVu Sans" w:hAnsi="DejaVu Sans" w:eastAsia="DejaVu Sans" w:cs="DejaVu Sans"/>
        </w:rPr>
        <w:t>Platform shutdown/sunset MUST NOT make a previously exported, valid bundle cryptographically unrecoverable solely because production API is unavailable.</w:t>
      </w:r>
    </w:p>
    <w:p>
      <w:pPr>
        <w:pStyle w:val="ListBullet"/>
      </w:pPr>
      <w:r>
        <w:t>Service-exit plan ต้องระบุ notice period, export window, escrow/key material handling, deletion timeline และ customer communication runbook ก่อน production launch.</w:t>
      </w:r>
    </w:p>
    <w:p>
      <w:pPr>
        <w:pStyle w:val="Heading3"/>
      </w:pPr>
      <w:r>
        <w:t>FR-5.4 Vault Closure &amp; Cryptographic Erasure</w:t>
      </w:r>
    </w:p>
    <w:p>
      <w:pPr/>
      <w:r>
        <w:t>Account closure flow ต้องรองรับ export-before-close, card/verifier revocation, destruction/revocation of wrapped keys and escrow material, ciphertext deletion ตาม retention policy และ retention เฉพาะ audit records ที่จำเป็น.</w:t>
      </w:r>
    </w:p>
    <w:p>
      <w:pPr>
        <w:pStyle w:val="ListBullet"/>
      </w:pPr>
      <w:r>
        <w:t>ยกเลิก Agent sponsorship, เปลี่ยน employer หรือยกเลิก Continuity Service ต้องไม่ทำลายสิทธิ์เข้าถึง vault ที่ผู้ใช้เป็นเจ้าของอยู่แล้ว.</w:t>
      </w:r>
    </w:p>
    <w:p>
      <w:pPr>
        <w:pStyle w:val="Heading3"/>
      </w:pPr>
      <w:r>
        <w:t>FR-5.5 Multi-Device Sync &amp; Rollback Protection</w:t>
      </w:r>
    </w:p>
    <w:p>
      <w:pPr/>
      <w:r>
        <w:t>Security-sensitive vault objects ต้องมี monotonic object_revision / parent_revision lineage หรือ equivalent authenticated versioning เพื่อ detect stale write, replay และ rollback.</w:t>
      </w:r>
    </w:p>
    <w:p>
      <w:pPr>
        <w:pStyle w:val="ListBullet"/>
      </w:pPr>
      <w:r>
        <w:t>Client ที่ reconnect หลัง offline ต้อง conflict-check ก่อน commit; stale client MUST NOT silently overwrite newer will, verifier, recovery-policy หรือ beneficiary-status records.</w:t>
      </w:r>
    </w:p>
    <w:p>
      <w:pPr>
        <w:pStyle w:val="ListBullet"/>
      </w:pPr>
      <w:r>
        <w:t>Device identity/trust metadata ต้องถูก bind เข้ากับ write audit trail โดยไม่เก็บ plaintext vault content.</w:t>
      </w:r>
    </w:p>
    <w:p>
      <w:pPr>
        <w:pStyle w:val="Heading3"/>
      </w:pPr>
      <w:r>
        <w:t>FR-5.6 Document Provenance &amp; Integrity</w:t>
      </w:r>
    </w:p>
    <w:p>
      <w:pPr/>
      <w:r>
        <w:t>Encrypted documents ควรมี provenance metadata แยกจาก content เช่น document_type, source_type, issuer/reference, document_date, content hash, supersedes_document_id และ verification status.</w:t>
      </w:r>
    </w:p>
    <w:p>
      <w:pPr>
        <w:pStyle w:val="ListBullet"/>
      </w:pPr>
      <w:r>
        <w:t>Minimum statuses: SELF_DECLARED, USER_UPLOADED, PROVIDER_VERIFIED, OFFICIAL_SOURCE, SUPERSEDED, EXPIRED; verification status ต้องไม่ถูกตีความเกินหลักฐานที่มี.</w:t>
      </w:r>
    </w:p>
    <w:p>
      <w:pPr>
        <w:pStyle w:val="Heading1"/>
      </w:pPr>
      <w:r>
        <w:t>4. Core User Journeys</w:t>
      </w:r>
    </w:p>
    <w:p>
      <w:pPr>
        <w:pStyle w:val="Heading2"/>
      </w:pPr>
      <w:r>
        <w:t>4.1 Owner - First-Time Setup</w:t>
      </w:r>
    </w:p>
    <w:p>
      <w:pPr>
        <w:spacing w:after="40" w:line="283" w:lineRule="auto"/>
        <w:ind w:left="72" w:hanging="29"/>
      </w:pPr>
      <w:r>
        <w:rPr>
          <w:rFonts w:ascii="DejaVu Sans" w:hAnsi="DejaVu Sans" w:eastAsia="DejaVu Sans" w:cs="DejaVu Sans"/>
          <w:b/>
          <w:i w:val="0"/>
          <w:sz w:val="21"/>
        </w:rPr>
        <w:t xml:space="preserve">1. </w:t>
      </w:r>
      <w:r>
        <w:rPr>
          <w:rFonts w:ascii="DejaVu Sans" w:hAnsi="DejaVu Sans" w:eastAsia="DejaVu Sans" w:cs="DejaVu Sans"/>
          <w:b w:val="0"/>
          <w:i w:val="0"/>
          <w:sz w:val="21"/>
        </w:rPr>
        <w:t>Create account with phishing-resistant authentication where available (Passkey preferred; fallback MFA).</w:t>
      </w:r>
    </w:p>
    <w:p>
      <w:pPr>
        <w:spacing w:after="40" w:line="283" w:lineRule="auto"/>
        <w:ind w:left="72" w:hanging="29"/>
      </w:pPr>
      <w:r>
        <w:rPr>
          <w:rFonts w:ascii="DejaVu Sans" w:hAnsi="DejaVu Sans" w:eastAsia="DejaVu Sans" w:cs="DejaVu Sans"/>
          <w:b/>
          <w:i w:val="0"/>
          <w:sz w:val="21"/>
        </w:rPr>
        <w:t xml:space="preserve">2. </w:t>
      </w:r>
      <w:r>
        <w:rPr>
          <w:rFonts w:ascii="DejaVu Sans" w:hAnsi="DejaVu Sans" w:eastAsia="DejaVu Sans" w:cs="DejaVu Sans"/>
          <w:b w:val="0"/>
          <w:i w:val="0"/>
          <w:sz w:val="21"/>
        </w:rPr>
        <w:t>Client generates cryptographic material locally; server receives ciphertext and wrapped/recovery artifacts only.</w:t>
      </w:r>
    </w:p>
    <w:p>
      <w:pPr>
        <w:spacing w:after="40" w:line="283" w:lineRule="auto"/>
        <w:ind w:left="72" w:hanging="29"/>
      </w:pPr>
      <w:r>
        <w:rPr>
          <w:rFonts w:ascii="DejaVu Sans" w:hAnsi="DejaVu Sans" w:eastAsia="DejaVu Sans" w:cs="DejaVu Sans"/>
          <w:b/>
          <w:i w:val="0"/>
          <w:sz w:val="21"/>
        </w:rPr>
        <w:t xml:space="preserve">3. </w:t>
      </w:r>
      <w:r>
        <w:rPr>
          <w:rFonts w:ascii="DejaVu Sans" w:hAnsi="DejaVu Sans" w:eastAsia="DejaVu Sans" w:cs="DejaVu Sans"/>
          <w:b w:val="0"/>
          <w:i w:val="0"/>
          <w:sz w:val="21"/>
        </w:rPr>
        <w:t>Add assets/liabilities and insurance records.</w:t>
      </w:r>
    </w:p>
    <w:p>
      <w:pPr>
        <w:spacing w:after="40" w:line="283" w:lineRule="auto"/>
        <w:ind w:left="72" w:hanging="29"/>
      </w:pPr>
      <w:r>
        <w:rPr>
          <w:rFonts w:ascii="DejaVu Sans" w:hAnsi="DejaVu Sans" w:eastAsia="DejaVu Sans" w:cs="DejaVu Sans"/>
          <w:b/>
          <w:i w:val="0"/>
          <w:sz w:val="21"/>
        </w:rPr>
        <w:t xml:space="preserve">4. </w:t>
      </w:r>
      <w:r>
        <w:rPr>
          <w:rFonts w:ascii="DejaVu Sans" w:hAnsi="DejaVu Sans" w:eastAsia="DejaVu Sans" w:cs="DejaVu Sans"/>
          <w:b w:val="0"/>
          <w:i w:val="0"/>
          <w:sz w:val="21"/>
        </w:rPr>
        <w:t>Configure Tier 1 Emergency Capsule separately from Tier 2 Estate Vault.</w:t>
      </w:r>
    </w:p>
    <w:p>
      <w:pPr>
        <w:spacing w:after="40" w:line="283" w:lineRule="auto"/>
        <w:ind w:left="72" w:hanging="29"/>
      </w:pPr>
      <w:r>
        <w:rPr>
          <w:rFonts w:ascii="DejaVu Sans" w:hAnsi="DejaVu Sans" w:eastAsia="DejaVu Sans" w:cs="DejaVu Sans"/>
          <w:b/>
          <w:i w:val="0"/>
          <w:sz w:val="21"/>
        </w:rPr>
        <w:t xml:space="preserve">5. </w:t>
      </w:r>
      <w:r>
        <w:rPr>
          <w:rFonts w:ascii="DejaVu Sans" w:hAnsi="DejaVu Sans" w:eastAsia="DejaVu Sans" w:cs="DejaVu Sans"/>
          <w:b w:val="0"/>
          <w:i w:val="0"/>
          <w:sz w:val="21"/>
        </w:rPr>
        <w:t>Add primary trusted person + independent backup; issue recovery kit/card.</w:t>
      </w:r>
    </w:p>
    <w:p>
      <w:pPr>
        <w:spacing w:after="40" w:line="283" w:lineRule="auto"/>
        <w:ind w:left="72" w:hanging="29"/>
      </w:pPr>
      <w:r>
        <w:rPr>
          <w:rFonts w:ascii="DejaVu Sans" w:hAnsi="DejaVu Sans" w:eastAsia="DejaVu Sans" w:cs="DejaVu Sans"/>
          <w:b/>
          <w:i w:val="0"/>
          <w:sz w:val="21"/>
        </w:rPr>
        <w:t xml:space="preserve">6. </w:t>
      </w:r>
      <w:r>
        <w:rPr>
          <w:rFonts w:ascii="DejaVu Sans" w:hAnsi="DejaVu Sans" w:eastAsia="DejaVu Sans" w:cs="DejaVu Sans"/>
          <w:b w:val="0"/>
          <w:i w:val="0"/>
          <w:sz w:val="21"/>
        </w:rPr>
        <w:t>Run coverage-gap calculation locally.</w:t>
      </w:r>
    </w:p>
    <w:p>
      <w:pPr>
        <w:spacing w:after="40" w:line="283" w:lineRule="auto"/>
        <w:ind w:left="72" w:hanging="29"/>
      </w:pPr>
      <w:r>
        <w:rPr>
          <w:rFonts w:ascii="DejaVu Sans" w:hAnsi="DejaVu Sans" w:eastAsia="DejaVu Sans" w:cs="DejaVu Sans"/>
          <w:b/>
          <w:i w:val="0"/>
          <w:sz w:val="21"/>
        </w:rPr>
        <w:t xml:space="preserve">7. </w:t>
      </w:r>
      <w:r>
        <w:rPr>
          <w:rFonts w:ascii="DejaVu Sans" w:hAnsi="DejaVu Sans" w:eastAsia="DejaVu Sans" w:cs="DejaVu Sans"/>
          <w:b w:val="0"/>
          <w:i w:val="0"/>
          <w:sz w:val="21"/>
        </w:rPr>
        <w:t>Optionally request Privacy-Limited Quote under separate consent.</w:t>
      </w:r>
    </w:p>
    <w:p>
      <w:pPr>
        <w:spacing w:after="40" w:line="283" w:lineRule="auto"/>
        <w:ind w:left="72" w:hanging="29"/>
      </w:pPr>
      <w:r>
        <w:rPr>
          <w:rFonts w:ascii="DejaVu Sans" w:hAnsi="DejaVu Sans" w:eastAsia="DejaVu Sans" w:cs="DejaVu Sans"/>
          <w:b/>
          <w:i w:val="0"/>
          <w:sz w:val="21"/>
        </w:rPr>
        <w:t xml:space="preserve">8. </w:t>
      </w:r>
      <w:r>
        <w:rPr>
          <w:rFonts w:ascii="DejaVu Sans" w:hAnsi="DejaVu Sans" w:eastAsia="DejaVu Sans" w:cs="DejaVu Sans"/>
          <w:b w:val="0"/>
          <w:i w:val="0"/>
          <w:sz w:val="21"/>
        </w:rPr>
        <w:t>Set heartbeat frequency and continuity channels if Continuity Service is active.</w:t>
      </w:r>
    </w:p>
    <w:p>
      <w:pPr>
        <w:pStyle w:val="Heading2"/>
      </w:pPr>
      <w:r>
        <w:t>4.2 Heir - Emergency Scan</w:t>
      </w:r>
    </w:p>
    <w:p>
      <w:pPr>
        <w:spacing w:after="40" w:line="283" w:lineRule="auto"/>
        <w:ind w:left="72" w:hanging="29"/>
      </w:pPr>
      <w:r>
        <w:rPr>
          <w:rFonts w:ascii="DejaVu Sans" w:hAnsi="DejaVu Sans" w:eastAsia="DejaVu Sans" w:cs="DejaVu Sans"/>
          <w:b/>
          <w:i w:val="0"/>
          <w:sz w:val="21"/>
        </w:rPr>
        <w:t xml:space="preserve">1. </w:t>
      </w:r>
      <w:r>
        <w:rPr>
          <w:rFonts w:ascii="DejaVu Sans" w:hAnsi="DejaVu Sans" w:eastAsia="DejaVu Sans" w:cs="DejaVu Sans"/>
          <w:b w:val="0"/>
          <w:i w:val="0"/>
          <w:sz w:val="21"/>
        </w:rPr>
        <w:t>Scan current-generation card.</w:t>
      </w:r>
    </w:p>
    <w:p>
      <w:pPr>
        <w:spacing w:after="40" w:line="283" w:lineRule="auto"/>
        <w:ind w:left="72" w:hanging="29"/>
      </w:pPr>
      <w:r>
        <w:rPr>
          <w:rFonts w:ascii="DejaVu Sans" w:hAnsi="DejaVu Sans" w:eastAsia="DejaVu Sans" w:cs="DejaVu Sans"/>
          <w:b/>
          <w:i w:val="0"/>
          <w:sz w:val="21"/>
        </w:rPr>
        <w:t xml:space="preserve">2. </w:t>
      </w:r>
      <w:r>
        <w:rPr>
          <w:rFonts w:ascii="DejaVu Sans" w:hAnsi="DejaVu Sans" w:eastAsia="DejaVu Sans" w:cs="DejaVu Sans"/>
          <w:b w:val="0"/>
          <w:i w:val="0"/>
          <w:sz w:val="21"/>
        </w:rPr>
        <w:t>Validate card status and complete verifier authentication.</w:t>
      </w:r>
    </w:p>
    <w:p>
      <w:pPr>
        <w:spacing w:after="40" w:line="283" w:lineRule="auto"/>
        <w:ind w:left="72" w:hanging="29"/>
      </w:pPr>
      <w:r>
        <w:rPr>
          <w:rFonts w:ascii="DejaVu Sans" w:hAnsi="DejaVu Sans" w:eastAsia="DejaVu Sans" w:cs="DejaVu Sans"/>
          <w:b/>
          <w:i w:val="0"/>
          <w:sz w:val="21"/>
        </w:rPr>
        <w:t xml:space="preserve">3. </w:t>
      </w:r>
      <w:r>
        <w:rPr>
          <w:rFonts w:ascii="DejaVu Sans" w:hAnsi="DejaVu Sans" w:eastAsia="DejaVu Sans" w:cs="DejaVu Sans"/>
          <w:b w:val="0"/>
          <w:i w:val="0"/>
          <w:sz w:val="21"/>
        </w:rPr>
        <w:t>If Tier 1 policy is satisfied, recover K_TIER1 only and render Emergency Capsule locally.</w:t>
      </w:r>
    </w:p>
    <w:p>
      <w:pPr>
        <w:spacing w:after="40" w:line="283" w:lineRule="auto"/>
        <w:ind w:left="72" w:hanging="29"/>
      </w:pPr>
      <w:r>
        <w:rPr>
          <w:rFonts w:ascii="DejaVu Sans" w:hAnsi="DejaVu Sans" w:eastAsia="DejaVu Sans" w:cs="DejaVu Sans"/>
          <w:b/>
          <w:i w:val="0"/>
          <w:sz w:val="21"/>
        </w:rPr>
        <w:t xml:space="preserve">4. </w:t>
      </w:r>
      <w:r>
        <w:rPr>
          <w:rFonts w:ascii="DejaVu Sans" w:hAnsi="DejaVu Sans" w:eastAsia="DejaVu Sans" w:cs="DejaVu Sans"/>
          <w:b w:val="0"/>
          <w:i w:val="0"/>
          <w:sz w:val="21"/>
        </w:rPr>
        <w:t>If death is reported, create Tier 2 unlock request and collect request-scoped approvals/evidence.</w:t>
      </w:r>
    </w:p>
    <w:p>
      <w:pPr>
        <w:spacing w:after="40" w:line="283" w:lineRule="auto"/>
        <w:ind w:left="72" w:hanging="29"/>
      </w:pPr>
      <w:r>
        <w:rPr>
          <w:rFonts w:ascii="DejaVu Sans" w:hAnsi="DejaVu Sans" w:eastAsia="DejaVu Sans" w:cs="DejaVu Sans"/>
          <w:b/>
          <w:i w:val="0"/>
          <w:sz w:val="21"/>
        </w:rPr>
        <w:t xml:space="preserve">5. </w:t>
      </w:r>
      <w:r>
        <w:rPr>
          <w:rFonts w:ascii="DejaVu Sans" w:hAnsi="DejaVu Sans" w:eastAsia="DejaVu Sans" w:cs="DejaVu Sans"/>
          <w:b w:val="0"/>
          <w:i w:val="0"/>
          <w:sz w:val="21"/>
        </w:rPr>
        <w:t>Enter RELEASE_DELAY_48H and notify owner/verifiers across configured channels.</w:t>
      </w:r>
    </w:p>
    <w:p>
      <w:pPr>
        <w:spacing w:after="40" w:line="283" w:lineRule="auto"/>
        <w:ind w:left="72" w:hanging="29"/>
      </w:pPr>
      <w:r>
        <w:rPr>
          <w:rFonts w:ascii="DejaVu Sans" w:hAnsi="DejaVu Sans" w:eastAsia="DejaVu Sans" w:cs="DejaVu Sans"/>
          <w:b/>
          <w:i w:val="0"/>
          <w:sz w:val="21"/>
        </w:rPr>
        <w:t xml:space="preserve">6. </w:t>
      </w:r>
      <w:r>
        <w:rPr>
          <w:rFonts w:ascii="DejaVu Sans" w:hAnsi="DejaVu Sans" w:eastAsia="DejaVu Sans" w:cs="DejaVu Sans"/>
          <w:b w:val="0"/>
          <w:i w:val="0"/>
          <w:sz w:val="21"/>
        </w:rPr>
        <w:t>After threshold + delay + non-cancellation, release required escrow material to client and decrypt Tier 2 locally.</w:t>
      </w:r>
    </w:p>
    <w:p>
      <w:pPr>
        <w:spacing w:after="40" w:line="283" w:lineRule="auto"/>
        <w:ind w:left="72" w:hanging="29"/>
      </w:pPr>
      <w:r>
        <w:rPr>
          <w:rFonts w:ascii="DejaVu Sans" w:hAnsi="DejaVu Sans" w:eastAsia="DejaVu Sans" w:cs="DejaVu Sans"/>
          <w:b/>
          <w:i w:val="0"/>
          <w:sz w:val="21"/>
        </w:rPr>
        <w:t xml:space="preserve">7. </w:t>
      </w:r>
      <w:r>
        <w:rPr>
          <w:rFonts w:ascii="DejaVu Sans" w:hAnsi="DejaVu Sans" w:eastAsia="DejaVu Sans" w:cs="DejaVu Sans"/>
          <w:b w:val="0"/>
          <w:i w:val="0"/>
          <w:sz w:val="21"/>
        </w:rPr>
        <w:t>Display staged bereavement dashboard and external official service handoffs.</w:t>
      </w:r>
    </w:p>
    <w:p>
      <w:pPr>
        <w:pStyle w:val="Heading2"/>
      </w:pPr>
      <w:r>
        <w:t>4.3 Agent - Sponsored Client</w:t>
      </w:r>
    </w:p>
    <w:p>
      <w:pPr>
        <w:spacing w:after="40" w:line="283" w:lineRule="auto"/>
        <w:ind w:left="72" w:hanging="29"/>
      </w:pPr>
      <w:r>
        <w:rPr>
          <w:rFonts w:ascii="DejaVu Sans" w:hAnsi="DejaVu Sans" w:eastAsia="DejaVu Sans" w:cs="DejaVu Sans"/>
          <w:b/>
          <w:i w:val="0"/>
          <w:sz w:val="21"/>
        </w:rPr>
        <w:t xml:space="preserve">1. </w:t>
      </w:r>
      <w:r>
        <w:rPr>
          <w:rFonts w:ascii="DejaVu Sans" w:hAnsi="DejaVu Sans" w:eastAsia="DejaVu Sans" w:cs="DejaVu Sans"/>
          <w:b w:val="0"/>
          <w:i w:val="0"/>
          <w:sz w:val="21"/>
        </w:rPr>
        <w:t>Agent passes license/profile verification and creates invite.</w:t>
      </w:r>
    </w:p>
    <w:p>
      <w:pPr>
        <w:spacing w:after="40" w:line="283" w:lineRule="auto"/>
        <w:ind w:left="72" w:hanging="29"/>
      </w:pPr>
      <w:r>
        <w:rPr>
          <w:rFonts w:ascii="DejaVu Sans" w:hAnsi="DejaVu Sans" w:eastAsia="DejaVu Sans" w:cs="DejaVu Sans"/>
          <w:b/>
          <w:i w:val="0"/>
          <w:sz w:val="21"/>
        </w:rPr>
        <w:t xml:space="preserve">2. </w:t>
      </w:r>
      <w:r>
        <w:rPr>
          <w:rFonts w:ascii="DejaVu Sans" w:hAnsi="DejaVu Sans" w:eastAsia="DejaVu Sans" w:cs="DejaVu Sans"/>
          <w:b w:val="0"/>
          <w:i w:val="0"/>
          <w:sz w:val="21"/>
        </w:rPr>
        <w:t>Client joins and sees sponsor relationship disclosure.</w:t>
      </w:r>
    </w:p>
    <w:p>
      <w:pPr>
        <w:spacing w:after="40" w:line="283" w:lineRule="auto"/>
        <w:ind w:left="72" w:hanging="29"/>
      </w:pPr>
      <w:r>
        <w:rPr>
          <w:rFonts w:ascii="DejaVu Sans" w:hAnsi="DejaVu Sans" w:eastAsia="DejaVu Sans" w:cs="DejaVu Sans"/>
          <w:b/>
          <w:i w:val="0"/>
          <w:sz w:val="21"/>
        </w:rPr>
        <w:t xml:space="preserve">3. </w:t>
      </w:r>
      <w:r>
        <w:rPr>
          <w:rFonts w:ascii="DejaVu Sans" w:hAnsi="DejaVu Sans" w:eastAsia="DejaVu Sans" w:cs="DejaVu Sans"/>
          <w:b w:val="0"/>
          <w:i w:val="0"/>
          <w:sz w:val="21"/>
        </w:rPr>
        <w:t>Agent sees relationship/readiness metadata only.</w:t>
      </w:r>
    </w:p>
    <w:p>
      <w:pPr>
        <w:spacing w:after="40" w:line="283" w:lineRule="auto"/>
        <w:ind w:left="72" w:hanging="29"/>
      </w:pPr>
      <w:r>
        <w:rPr>
          <w:rFonts w:ascii="DejaVu Sans" w:hAnsi="DejaVu Sans" w:eastAsia="DejaVu Sans" w:cs="DejaVu Sans"/>
          <w:b/>
          <w:i w:val="0"/>
          <w:sz w:val="21"/>
        </w:rPr>
        <w:t xml:space="preserve">4. </w:t>
      </w:r>
      <w:r>
        <w:rPr>
          <w:rFonts w:ascii="DejaVu Sans" w:hAnsi="DejaVu Sans" w:eastAsia="DejaVu Sans" w:cs="DejaVu Sans"/>
          <w:b w:val="0"/>
          <w:i w:val="0"/>
          <w:sz w:val="21"/>
        </w:rPr>
        <w:t>Client may explicitly select agent as verifier, but platform recommends independent backup and does not assign agent by default.</w:t>
      </w:r>
    </w:p>
    <w:p>
      <w:pPr>
        <w:spacing w:after="40" w:line="283" w:lineRule="auto"/>
        <w:ind w:left="72" w:hanging="29"/>
      </w:pPr>
      <w:r>
        <w:rPr>
          <w:rFonts w:ascii="DejaVu Sans" w:hAnsi="DejaVu Sans" w:eastAsia="DejaVu Sans" w:cs="DejaVu Sans"/>
          <w:b/>
          <w:i w:val="0"/>
          <w:sz w:val="21"/>
        </w:rPr>
        <w:t xml:space="preserve">5. </w:t>
      </w:r>
      <w:r>
        <w:rPr>
          <w:rFonts w:ascii="DejaVu Sans" w:hAnsi="DejaVu Sans" w:eastAsia="DejaVu Sans" w:cs="DejaVu Sans"/>
          <w:b w:val="0"/>
          <w:i w:val="0"/>
          <w:sz w:val="21"/>
        </w:rPr>
        <w:t>If relationship ends, sponsorship/sticky card can be removed without vault data migration or loss of recovery capability.</w:t>
      </w:r>
    </w:p>
    <w:p>
      <w:pPr>
        <w:pStyle w:val="Heading2"/>
      </w:pPr>
      <w:r>
        <w:t>4.4 Owner - Lost Device / Account Recovery</w:t>
      </w:r>
    </w:p>
    <w:p>
      <w:pPr>
        <w:spacing w:line="283" w:lineRule="auto"/>
      </w:pPr>
      <w:r>
        <w:rPr>
          <w:rFonts w:ascii="DejaVu Sans" w:hAnsi="DejaVu Sans" w:eastAsia="DejaVu Sans" w:cs="DejaVu Sans"/>
        </w:rPr>
        <w:t>1. Owner initiates recovery from a new trusted client using owner-held recovery material and identity/authentication controls.</w:t>
      </w:r>
    </w:p>
    <w:p>
      <w:pPr>
        <w:spacing w:line="283" w:lineRule="auto"/>
      </w:pPr>
      <w:r>
        <w:rPr>
          <w:rFonts w:ascii="DejaVu Sans" w:hAnsi="DejaVu Sans" w:eastAsia="DejaVu Sans" w:cs="DejaVu Sans"/>
        </w:rPr>
        <w:t>2. System revokes or quarantines lost device credentials and records a security event.</w:t>
      </w:r>
    </w:p>
    <w:p>
      <w:pPr>
        <w:spacing w:line="283" w:lineRule="auto"/>
      </w:pPr>
      <w:r>
        <w:rPr>
          <w:rFonts w:ascii="DejaVu Sans" w:hAnsi="DejaVu Sans" w:eastAsia="DejaVu Sans" w:cs="DejaVu Sans"/>
        </w:rPr>
        <w:t>3. Client reconstructs/re-wraps owner access locally without platform obtaining plaintext Tier keys.</w:t>
      </w:r>
    </w:p>
    <w:p>
      <w:pPr>
        <w:spacing w:line="283" w:lineRule="auto"/>
      </w:pPr>
      <w:r>
        <w:rPr>
          <w:rFonts w:ascii="DejaVu Sans" w:hAnsi="DejaVu Sans" w:eastAsia="DejaVu Sans" w:cs="DejaVu Sans"/>
        </w:rPr>
        <w:t>4. Owner rotates affected recovery material when compromise is suspected and verifies current card/verifier generations.</w:t>
      </w:r>
    </w:p>
    <w:p>
      <w:pPr>
        <w:spacing w:line="283" w:lineRule="auto"/>
      </w:pPr>
      <w:r>
        <w:rPr>
          <w:rFonts w:ascii="DejaVu Sans" w:hAnsi="DejaVu Sans" w:eastAsia="DejaVu Sans" w:cs="DejaVu Sans"/>
        </w:rPr>
        <w:t>5. Newly enrolled device receives only current authorized wrapped keys; revoked device cannot decrypt future re-keyed data.</w:t>
      </w:r>
    </w:p>
    <w:p>
      <w:pPr>
        <w:pStyle w:val="Heading2"/>
      </w:pPr>
      <w:r>
        <w:t>4.5 Disputed Unlock</w:t>
      </w:r>
    </w:p>
    <w:p>
      <w:pPr>
        <w:spacing w:line="283" w:lineRule="auto"/>
      </w:pPr>
      <w:r>
        <w:rPr>
          <w:rFonts w:ascii="DejaVu Sans" w:hAnsi="DejaVu Sans" w:eastAsia="DejaVu Sans" w:cs="DejaVu Sans"/>
        </w:rPr>
        <w:t>1. Recovery Orchestrator detects conflicting approvals/evidence or owner-alive/fraud signal.</w:t>
      </w:r>
    </w:p>
    <w:p>
      <w:pPr>
        <w:spacing w:line="283" w:lineRule="auto"/>
      </w:pPr>
      <w:r>
        <w:rPr>
          <w:rFonts w:ascii="DejaVu Sans" w:hAnsi="DejaVu Sans" w:eastAsia="DejaVu Sans" w:cs="DejaVu Sans"/>
        </w:rPr>
        <w:t>2. Request transitions to DISPUTED / SECURITY_FREEZE; release timer and escrow delivery stop.</w:t>
      </w:r>
    </w:p>
    <w:p>
      <w:pPr>
        <w:spacing w:line="283" w:lineRule="auto"/>
      </w:pPr>
      <w:r>
        <w:rPr>
          <w:rFonts w:ascii="DejaVu Sans" w:hAnsi="DejaVu Sans" w:eastAsia="DejaVu Sans" w:cs="DejaVu Sans"/>
        </w:rPr>
        <w:t>3. Evidence and verifier actions are preserved in append-only audit records without plaintext vault disclosure.</w:t>
      </w:r>
    </w:p>
    <w:p>
      <w:pPr>
        <w:spacing w:line="283" w:lineRule="auto"/>
      </w:pPr>
      <w:r>
        <w:rPr>
          <w:rFonts w:ascii="DejaVu Sans" w:hAnsi="DejaVu Sans" w:eastAsia="DejaVu Sans" w:cs="DejaVu Sans"/>
        </w:rPr>
        <w:t>4. Resolution follows explicit policy; unresolved dispute cannot auto-complete merely because time elapsed.</w:t>
      </w:r>
    </w:p>
    <w:p>
      <w:pPr>
        <w:pStyle w:val="Heading2"/>
      </w:pPr>
      <w:r>
        <w:t>4.6 Owner - Temporary Delegated Access</w:t>
      </w:r>
    </w:p>
    <w:p>
      <w:pPr>
        <w:spacing w:line="283" w:lineRule="auto"/>
      </w:pPr>
      <w:r>
        <w:rPr>
          <w:rFonts w:ascii="DejaVu Sans" w:hAnsi="DejaVu Sans" w:eastAsia="DejaVu Sans" w:cs="DejaVu Sans"/>
        </w:rPr>
        <w:t>1. Owner pre-configures delegate scope, expiry and authentication requirement.</w:t>
      </w:r>
    </w:p>
    <w:p>
      <w:pPr>
        <w:spacing w:line="283" w:lineRule="auto"/>
      </w:pPr>
      <w:r>
        <w:rPr>
          <w:rFonts w:ascii="DejaVu Sans" w:hAnsi="DejaVu Sans" w:eastAsia="DejaVu Sans" w:cs="DejaVu Sans"/>
        </w:rPr>
        <w:t>2. Delegate activates temporary-access request under the designated policy.</w:t>
      </w:r>
    </w:p>
    <w:p>
      <w:pPr>
        <w:spacing w:line="283" w:lineRule="auto"/>
      </w:pPr>
      <w:r>
        <w:rPr>
          <w:rFonts w:ascii="DejaVu Sans" w:hAnsi="DejaVu Sans" w:eastAsia="DejaVu Sans" w:cs="DejaVu Sans"/>
        </w:rPr>
        <w:t>3. Client reveals only authorized data subset and never derives K_TIER2 solely from delegated access.</w:t>
      </w:r>
    </w:p>
    <w:p>
      <w:pPr>
        <w:spacing w:line="283" w:lineRule="auto"/>
      </w:pPr>
      <w:r>
        <w:rPr>
          <w:rFonts w:ascii="DejaVu Sans" w:hAnsi="DejaVu Sans" w:eastAsia="DejaVu Sans" w:cs="DejaVu Sans"/>
        </w:rPr>
        <w:t>4. Access expires/revokes automatically and creates an auditable event trail.</w:t>
      </w:r>
    </w:p>
    <w:p>
      <w:pPr>
        <w:pStyle w:val="Heading1"/>
      </w:pPr>
      <w:r>
        <w:t>5. Technical Architecture &amp; Zero-Knowledge Security Model</w:t>
      </w:r>
    </w:p>
    <w:p>
      <w:pPr>
        <w:pStyle w:val="Heading2"/>
      </w:pPr>
      <w:r>
        <w:t>5.1 Architecture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 w:cs="DejaVu Sans Mono"/>
                <w:sz w:val="16"/>
              </w:rPr>
              <w:t>www.example.com       Marketing / public content</w:t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t>app.example.com       Account, billing, onboarding shell</w:t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t>vault.example.com     Decrypted vault UI + local crypto; NO third-party tracking</w:t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t>partners.example.com  Agent/partner portal</w:t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t>lead.example.com      Consent + lead isolation domain</w:t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t>Core services:</w:t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t>- Identity Service</w:t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t>- Encrypted Vault API / Object Storage</w:t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t>- Recovery Orchestrator</w:t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t>- Notification Service</w:t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t>- Lead Isolation Service</w:t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t>- Partner/License Registry</w:t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t>- Append-only Security Event Store</w:t>
            </w:r>
          </w:p>
        </w:tc>
      </w:tr>
    </w:tbl>
    <w:p>
      <w:pPr>
        <w:pStyle w:val="Heading2"/>
      </w:pPr>
      <w:r>
        <w:t>5.2 Client-Side Key Hierarchy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 w:cs="DejaVu Sans Mono"/>
                <w:sz w:val="16"/>
              </w:rPr>
              <w:t>Client-generated random keys</w:t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t>K_TIER1_EMERGENCY  ---&gt; encrypts Emergency Capsule objects</w:t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t>K_TIER2_ESTATE     ---&gt; encrypts Estate Vault objects</w:t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t>Owner session key / account recovery mechanism may WRAP both keys.</w:t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t>Post-death recovery policies MUST remain independent:</w:t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t>- Tier 1 flow can recover K_TIER1 only</w:t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t>- Tier 2 threshold flow can recover/unlock K_TIER2 only</w:t>
            </w:r>
          </w:p>
        </w:tc>
      </w:tr>
    </w:tbl>
    <w:p>
      <w:pPr>
        <w:pStyle w:val="Heading2"/>
      </w:pPr>
      <w:r>
        <w:t>5.3 Encryption Envelope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AEAD: AES-256-GCM or XChaCha20-Poly1305 via vetted library; no custom crypto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per-object unique nonce/IV; never one vault-wide IV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ciphertext stored as binary/base64 envelope with crypto_version, cipher_suite, nonce, key_version and AAD metadata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AAD binds at least vault_id, tier, object_type, schema_version and key_version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attachments use independent content-encryption keys or chunked authenticated encryption suitable for file size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key rotation supported without changing business identity of the vault object</w:t>
      </w:r>
    </w:p>
    <w:p>
      <w:pPr>
        <w:pStyle w:val="Heading2"/>
      </w:pPr>
      <w:r>
        <w:t>5.4 Shamir Secret Sharing / Threshold Recovery</w:t>
      </w:r>
    </w:p>
    <w:p>
      <w:pPr>
        <w:spacing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Default Tier 2 recovery participants: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Share A - Platform Escrow component, encrypted at rest and released only under valid request state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Share B - Primary Trusted Person recovery component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Share C - Independent Backup Trusted Person recovery component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83" w:lineRule="auto"/>
            </w:pPr>
            <w:r>
              <w:rPr>
                <w:rFonts w:ascii="DejaVu Sans" w:hAnsi="DejaVu Sans" w:eastAsia="DejaVu Sans" w:cs="DejaVu Sans"/>
                <w:b/>
                <w:i w:val="0"/>
                <w:sz w:val="21"/>
              </w:rPr>
              <w:t xml:space="preserve">Trust Model Rule: </w:t>
            </w:r>
            <w:r>
              <w:rPr>
                <w:rFonts w:ascii="DejaVu Sans" w:hAnsi="DejaVu Sans" w:eastAsia="DejaVu Sans" w:cs="DejaVu Sans"/>
                <w:b w:val="0"/>
                <w:i w:val="0"/>
                <w:sz w:val="21"/>
              </w:rPr>
              <w:t>No commercial partner is a default recovery-share holder. An agent may be selected only by explicit owner choice, and policy should avoid a Platform + Agent pair becoming the only practical path without independent owner-selected trust.</w:t>
            </w:r>
          </w:p>
        </w:tc>
      </w:tr>
    </w:tbl>
    <w:p>
      <w:pPr>
        <w:pStyle w:val="Heading2"/>
      </w:pPr>
      <w:r>
        <w:t>5.5 Recovery Package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 w:cs="DejaVu Sans Mono"/>
                <w:sz w:val="16"/>
              </w:rPr>
              <w:t>QR/NFC payload (conceptual)</w:t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t>{</w:t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t xml:space="preserve">  recovery_url,</w:t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t xml:space="preserve">  card_id,</w:t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t xml:space="preserve">  generation,</w:t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t xml:space="preserve">  encrypted_recovery_package</w:t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t>}</w:t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t>The payload MUST NOT expose a plaintext reusable Shamir share.</w:t>
              <w:br/>
            </w:r>
            <w:r>
              <w:rPr>
                <w:rFonts w:ascii="DejaVu Sans Mono" w:hAnsi="DejaVu Sans Mono" w:eastAsia="DejaVu Sans Mono" w:cs="DejaVu Sans Mono"/>
                <w:sz w:val="16"/>
              </w:rPr>
              <w:t>Decryption/activation requires current policy + additional authentication/verification.</w:t>
            </w:r>
          </w:p>
        </w:tc>
      </w:tr>
    </w:tbl>
    <w:p>
      <w:pPr>
        <w:pStyle w:val="Heading2"/>
      </w:pPr>
      <w:r>
        <w:t>5.6 Web Zero-Knowledge Threat Model</w:t>
      </w:r>
    </w:p>
    <w:p>
      <w:pPr>
        <w:spacing w:line="360" w:lineRule="exact"/>
      </w:pPr>
      <w:r>
        <w:rPr>
          <w:rFonts w:ascii="DejaVu Sans" w:hAnsi="DejaVu Sans" w:eastAsia="DejaVu Sans" w:cs="DejaVu Sans"/>
          <w:sz w:val="21"/>
        </w:rPr>
        <w:t>A web application that receives JavaScript from the same operator has an inherent supply-chain/server-compromise risk: a malicious build could exfiltrate plaintext or keys. v1.1.1 therefore treats “zero-knowledge” as a product security objective bounded by the delivered client code, and requires hardened deployment controls.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Strict Content Security Policy and Trusted Types where supported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No third-party JavaScript/analytics/ads inside vault origin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Dependency pinning, SBOM, vulnerability scanning and reviewed lockfiles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Reproducible or independently verifiable frontend builds where practical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Signed release artifacts / release manifest and auditable deployment pipeline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Subresource Integrity for static third-party assets only if any are exceptionally required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No session replay, DOM capture, remote support screen scraping or plaintext error telemetry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Separate origins/cookies/service workers to reduce cross-domain privilege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Key/plaintext material must never enter server logs, crash reports or analytics payloads</w:t>
      </w:r>
    </w:p>
    <w:p>
      <w:pPr>
        <w:pStyle w:val="Heading2"/>
      </w:pPr>
      <w:r>
        <w:t>5.7 Threat Scenarios &amp;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83" w:lineRule="auto" w:after="0"/>
              <w:jc w:val="left"/>
            </w:pPr>
            <w:r>
              <w:rPr>
                <w:rFonts w:ascii="DejaVu Sans" w:hAnsi="DejaVu Sans" w:eastAsia="DejaVu Sans" w:cs="DejaVu Sans"/>
                <w:b/>
                <w:sz w:val="16"/>
              </w:rPr>
              <w:t>Threat</w:t>
            </w:r>
          </w:p>
        </w:tc>
        <w:tc>
          <w:tcPr>
            <w:tcW w:type="dxa" w:w="432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83" w:lineRule="auto" w:after="0"/>
              <w:jc w:val="left"/>
            </w:pPr>
            <w:r>
              <w:rPr>
                <w:rFonts w:ascii="DejaVu Sans" w:hAnsi="DejaVu Sans" w:eastAsia="DejaVu Sans" w:cs="DejaVu Sans"/>
                <w:b/>
                <w:sz w:val="16"/>
              </w:rPr>
              <w:t>Primary Control</w:t>
            </w:r>
          </w:p>
        </w:tc>
        <w:tc>
          <w:tcPr>
            <w:tcW w:type="dxa" w:w="403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83" w:lineRule="auto" w:after="0"/>
              <w:jc w:val="left"/>
            </w:pPr>
            <w:r>
              <w:rPr>
                <w:rFonts w:ascii="DejaVu Sans" w:hAnsi="DejaVu Sans" w:eastAsia="DejaVu Sans" w:cs="DejaVu Sans"/>
                <w:b/>
                <w:sz w:val="16"/>
              </w:rPr>
              <w:t>Residual / Review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Lost/stolen NFC card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revocable generation + encrypted recovery package + extra verifier authentication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photographed material may require share/key rotation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Verifier account takeover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Passkey/MFA, request-specific challenge, approval expiry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social engineering remains; require multi-party threshold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Platform insider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no plaintext key, escrow release state machine, append-only events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web build compromise remains higher-order risk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Platform + partner collusion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partner not default share holder; independent trusted persons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owner can still explicitly choose risky topology; warn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Replay old approval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approval bound to unlock_request_id + nonce/challenge + expiry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clock and state consistency required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Death certificate fraud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multi-party approval + release delay + owner cancellation + evidence review policy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manual verification quality varies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Ciphertext swapping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AAD binds object identity/tier/schema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requires correct AAD validation client-side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Nonce reuse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per-object generated nonce + test/lint invariant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implementation/library misuse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Malicious frontend release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origin isolation, no third party scripts, controlled build/release, audit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cannot be fully eliminated in ordinary web delivery</w:t>
            </w:r>
          </w:p>
        </w:tc>
      </w:tr>
    </w:tbl>
    <w:p>
      <w:pPr>
        <w:spacing w:after="0"/>
      </w:pPr>
    </w:p>
    <w:p>
      <w:pPr>
        <w:pStyle w:val="Heading2"/>
      </w:pPr>
      <w:r>
        <w:t>5.8 Device Trust, Sync &amp; Rollback Model</w:t>
      </w:r>
    </w:p>
    <w:p>
      <w:pPr>
        <w:spacing w:line="283" w:lineRule="auto"/>
      </w:pPr>
      <w:r>
        <w:rPr>
          <w:rFonts w:ascii="DejaVu Sans" w:hAnsi="DejaVu Sans" w:eastAsia="DejaVu Sans" w:cs="DejaVu Sans"/>
        </w:rPr>
        <w:t>Each authorized device receives a non-secret device identifier and authenticated device credential. Security-sensitive writes include revision lineage and writer-device reference in authenticated metadata/audit events.</w:t>
      </w:r>
    </w:p>
    <w:p>
      <w:pPr>
        <w:pStyle w:val="ListBullet"/>
        <w:spacing w:line="283" w:lineRule="auto"/>
      </w:pPr>
      <w:r>
        <w:rPr>
          <w:rFonts w:ascii="DejaVu Sans" w:hAnsi="DejaVu Sans" w:eastAsia="DejaVu Sans" w:cs="DejaVu Sans"/>
        </w:rPr>
        <w:t>Server synchronization may coordinate opaque ciphertext revisions but MUST NOT resolve semantic conflicts by decrypting content. Client-side conflict UX is required for incompatible concurrent edits.</w:t>
      </w:r>
    </w:p>
    <w:p>
      <w:pPr>
        <w:pStyle w:val="ListBullet"/>
        <w:spacing w:line="283" w:lineRule="auto"/>
      </w:pPr>
      <w:r>
        <w:rPr>
          <w:rFonts w:ascii="DejaVu Sans" w:hAnsi="DejaVu Sans" w:eastAsia="DejaVu Sans" w:cs="DejaVu Sans"/>
        </w:rPr>
        <w:t>Rollback protection must cover will/recovery/verifier/policy configuration even when the old ciphertext is otherwise cryptographically valid.</w:t>
      </w:r>
    </w:p>
    <w:p>
      <w:pPr>
        <w:pStyle w:val="Heading2"/>
      </w:pPr>
      <w:r>
        <w:t>5.9 Identity Assurance Model</w:t>
      </w:r>
    </w:p>
    <w:p>
      <w:pPr>
        <w:spacing w:line="283" w:lineRule="auto"/>
      </w:pPr>
      <w:r>
        <w:rPr>
          <w:rFonts w:ascii="DejaVu Sans" w:hAnsi="DejaVu Sans" w:eastAsia="DejaVu Sans" w:cs="DejaVu Sans"/>
        </w:rPr>
        <w:t>Authentication strength and identity assurance are separate policy inputs. Tier 2 recovery evaluates both verifier authentication and configured identity-assurance requirement.</w:t>
      </w:r>
    </w:p>
    <w:p>
      <w:pPr>
        <w:pStyle w:val="ListBullet"/>
        <w:spacing w:line="283" w:lineRule="auto"/>
      </w:pPr>
      <w:r>
        <w:rPr>
          <w:rFonts w:ascii="DejaVu Sans" w:hAnsi="DejaVu Sans" w:eastAsia="DejaVu Sans" w:cs="DejaVu Sans"/>
        </w:rPr>
        <w:t>Identity-provider artifacts/tokens must be minimized, retention-limited and separated from vault plaintext. No single external identity provider is a cryptographic root of trust for K_TIER2.</w:t>
      </w:r>
    </w:p>
    <w:p>
      <w:pPr>
        <w:pStyle w:val="Heading2"/>
      </w:pPr>
      <w:r>
        <w:t>5.10 Portable Recovery / Service Exit Architecture</w:t>
      </w:r>
    </w:p>
    <w:p>
      <w:pPr>
        <w:spacing w:line="283" w:lineRule="auto"/>
      </w:pPr>
      <w:r>
        <w:rPr>
          <w:rFonts w:ascii="DejaVu Sans" w:hAnsi="DejaVu Sans" w:eastAsia="DejaVu Sans" w:cs="DejaVu Sans"/>
        </w:rPr>
        <w:t>The crypto format, manifest schema and recovery bundle version must be documented sufficiently to allow validation/recovery without relying on undocumented production-server behavior.</w:t>
      </w:r>
    </w:p>
    <w:p>
      <w:pPr>
        <w:pStyle w:val="ListBullet"/>
        <w:spacing w:line="283" w:lineRule="auto"/>
      </w:pPr>
      <w:r>
        <w:rPr>
          <w:rFonts w:ascii="DejaVu Sans" w:hAnsi="DejaVu Sans" w:eastAsia="DejaVu Sans" w:cs="DejaVu Sans"/>
        </w:rPr>
        <w:t>Exported bundles should be self-describing, integrity-checkable and versioned; future format migrations must preserve an upgrade/recovery path.</w:t>
      </w:r>
    </w:p>
    <w:p>
      <w:pPr>
        <w:pStyle w:val="Heading1"/>
      </w:pPr>
      <w:r>
        <w:t>6. Core Data Model (PostgreSQL) - Revision 1.1.1</w:t>
      </w:r>
    </w:p>
    <w:p>
      <w:r>
        <w:rPr>
          <w:rFonts w:ascii="Noto Sans Thai" w:hAnsi="Noto Sans Thai" w:eastAsia="Noto Sans Thai" w:cs="Noto Sans Thai"/>
          <w:b w:val="0"/>
          <w:i w:val="0"/>
          <w:sz w:val="21"/>
        </w:rPr>
        <w:t>หมายเหตุ: schema ด้านล่างเป็น logical baseline สำหรับ architecture review ไม่ใช่ migration-ready DDL. ชื่อ type/check constraints, partitioning, indexing และ cryptographic serialization ต้อง finalize ใน ADR/implementation design.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DejaVu Sans Mono" w:hAnsi="DejaVu Sans Mono" w:eastAsia="DejaVu Sans Mono"/>
                <w:sz w:val="16"/>
              </w:rPr>
              <w:t>CREATE TABLE users (</w:t>
              <w:br/>
              <w:t xml:space="preserve">  id UUID PRIMARY KEY DEFAULT gen_random_uuid(),</w:t>
              <w:br/>
              <w:t xml:space="preserve">  email CITEXT UNIQUE NOT NULL,</w:t>
              <w:br/>
              <w:t xml:space="preserve">  phone_hash TEXT NULL,</w:t>
              <w:br/>
              <w:t xml:space="preserve">  tier VARCHAR(30) NOT NULL DEFAULT 'FREE',</w:t>
              <w:br/>
              <w:t xml:space="preserve">  sponsored_by_agent_id UUID NULL,</w:t>
              <w:br/>
              <w:t xml:space="preserve">  vault_status VARCHAR(40) NOT NULL DEFAULT 'ACTIVE',</w:t>
              <w:br/>
              <w:t xml:space="preserve">  inactivity_days INT NOT NULL DEFAULT 90,</w:t>
              <w:br/>
              <w:t xml:space="preserve">  last_heartbeat_at TIMESTAMPTZ NULL,</w:t>
              <w:br/>
              <w:t xml:space="preserve">  created_at TIMESTAMPTZ NOT NULL DEFAULT NOW(),</w:t>
              <w:br/>
              <w:t xml:space="preserve">  updated_at TIMESTAMPTZ NOT NULL DEFAULT NOW()</w:t>
              <w:br/>
              <w:t>);</w:t>
              <w:br/>
              <w:br/>
              <w:t>CREATE TABLE vaults (</w:t>
              <w:br/>
              <w:t xml:space="preserve">  id UUID PRIMARY KEY DEFAULT gen_random_uuid(),</w:t>
              <w:br/>
              <w:t xml:space="preserve">  user_id UUID UNIQUE NOT NULL REFERENCES users(id) ON DELETE CASCADE,</w:t>
              <w:br/>
              <w:t xml:space="preserve">  crypto_version INT NOT NULL,</w:t>
              <w:br/>
              <w:t xml:space="preserve">  created_at TIMESTAMPTZ NOT NULL DEFAULT NOW(),</w:t>
              <w:br/>
              <w:t xml:space="preserve">  updated_at TIMESTAMPTZ NOT NULL DEFAULT NOW()</w:t>
              <w:br/>
              <w:t>);</w:t>
              <w:br/>
              <w:br/>
              <w:t>CREATE TABLE encrypted_vault_objects (</w:t>
              <w:br/>
              <w:t xml:space="preserve">  id UUID PRIMARY KEY DEFAULT gen_random_uuid(),</w:t>
              <w:br/>
              <w:t xml:space="preserve">  vault_id UUID NOT NULL REFERENCES vaults(id) ON DELETE CASCADE,</w:t>
              <w:br/>
              <w:t xml:space="preserve">  tier VARCHAR(20) NOT NULL,          -- TIER1 / TIER2</w:t>
              <w:br/>
              <w:t xml:space="preserve">  object_type VARCHAR(60) NOT NULL,</w:t>
              <w:br/>
              <w:t xml:space="preserve">  schema_version INT NOT NULL,</w:t>
              <w:br/>
              <w:t xml:space="preserve">  cipher_suite VARCHAR(40) NOT NULL,</w:t>
              <w:br/>
              <w:t xml:space="preserve">  nonce BYTEA NOT NULL,</w:t>
              <w:br/>
              <w:t xml:space="preserve">  ciphertext BYTEA NOT NULL,</w:t>
              <w:br/>
              <w:t xml:space="preserve">  key_version INT NOT NULL,</w:t>
              <w:br/>
              <w:t xml:space="preserve">  aad_version INT NOT NULL,</w:t>
              <w:br/>
              <w:t xml:space="preserve">  created_at TIMESTAMPTZ NOT NULL DEFAULT NOW(),</w:t>
              <w:br/>
              <w:t xml:space="preserve">  updated_at TIMESTAMPTZ NOT NULL DEFAULT NOW()</w:t>
              <w:br/>
              <w:t>);</w:t>
              <w:br/>
              <w:br/>
              <w:t>CREATE TABLE key_wrappers (</w:t>
              <w:br/>
              <w:t xml:space="preserve">  id UUID PRIMARY KEY DEFAULT gen_random_uuid(),</w:t>
              <w:br/>
              <w:t xml:space="preserve">  vault_id UUID NOT NULL REFERENCES vaults(id) ON DELETE CASCADE,</w:t>
              <w:br/>
              <w:t xml:space="preserve">  key_purpose VARCHAR(40) NOT NULL,   -- TIER1_KEY / TIER2_KEY</w:t>
              <w:br/>
              <w:t xml:space="preserve">  wrapper_type VARCHAR(40) NOT NULL,  -- OWNER / RECOVERY / ESCROW</w:t>
              <w:br/>
              <w:t xml:space="preserve">  key_version INT NOT NULL,</w:t>
              <w:br/>
              <w:t xml:space="preserve">  wrapped_key BYTEA NOT NULL,</w:t>
              <w:br/>
              <w:t xml:space="preserve">  metadata JSONB NOT NULL DEFAULT '{}'::jsonb,</w:t>
              <w:br/>
              <w:t xml:space="preserve">  revoked_at TIMESTAMPTZ NULL,</w:t>
              <w:br/>
              <w:t xml:space="preserve">  created_at TIMESTAMPTZ NOT NULL DEFAULT NOW()</w:t>
              <w:br/>
              <w:t>);</w:t>
              <w:br/>
              <w:br/>
              <w:t>CREATE TABLE vault_verifiers (</w:t>
              <w:br/>
              <w:t xml:space="preserve">  id UUID PRIMARY KEY DEFAULT gen_random_uuid(),</w:t>
              <w:br/>
              <w:t xml:space="preserve">  vault_id UUID NOT NULL REFERENCES vaults(id) ON DELETE CASCADE,</w:t>
              <w:br/>
              <w:t xml:space="preserve">  role VARCHAR(40) NOT NULL,          -- PRIMARY_TRUSTED / BACKUP_TRUSTED / OPTIONAL_AGENT</w:t>
              <w:br/>
              <w:t xml:space="preserve">  display_name VARCHAR(255) NOT NULL,</w:t>
              <w:br/>
              <w:t xml:space="preserve">  contact_hash TEXT NULL,</w:t>
              <w:br/>
              <w:t xml:space="preserve">  contact_encrypted BYTEA NULL,</w:t>
              <w:br/>
              <w:t xml:space="preserve">  status VARCHAR(30) NOT NULL DEFAULT 'INVITED',</w:t>
              <w:br/>
              <w:t xml:space="preserve">  share_generation INT NOT NULL DEFAULT 1,</w:t>
              <w:br/>
              <w:t xml:space="preserve">  revoked_at TIMESTAMPTZ NULL,</w:t>
              <w:br/>
              <w:t xml:space="preserve">  created_at TIMESTAMPTZ NOT NULL DEFAULT NOW()</w:t>
              <w:br/>
              <w:t>);</w:t>
              <w:br/>
              <w:br/>
              <w:t>CREATE TABLE physical_cards (</w:t>
              <w:br/>
              <w:t xml:space="preserve">  id UUID PRIMARY KEY DEFAULT gen_random_uuid(),</w:t>
              <w:br/>
              <w:t xml:space="preserve">  vault_id UUID NOT NULL REFERENCES vaults(id) ON DELETE CASCADE,</w:t>
              <w:br/>
              <w:t xml:space="preserve">  generation INT NOT NULL,</w:t>
              <w:br/>
              <w:t xml:space="preserve">  package_fingerprint TEXT NOT NULL,</w:t>
              <w:br/>
              <w:t xml:space="preserve">  status VARCHAR(20) NOT NULL DEFAULT 'ACTIVE',</w:t>
              <w:br/>
              <w:t xml:space="preserve">  issued_at TIMESTAMPTZ NOT NULL DEFAULT NOW(),</w:t>
              <w:br/>
              <w:t xml:space="preserve">  revoked_at TIMESTAMPTZ NULL,</w:t>
              <w:br/>
              <w:t xml:space="preserve">  UNIQUE(vault_id, generation)</w:t>
              <w:br/>
              <w:t>);</w:t>
              <w:br/>
              <w:br/>
              <w:t>CREATE TABLE unlock_requests (</w:t>
              <w:br/>
              <w:t xml:space="preserve">  id UUID PRIMARY KEY DEFAULT gen_random_uuid(),</w:t>
              <w:br/>
              <w:t xml:space="preserve">  vault_id UUID NOT NULL REFERENCES vaults(id) ON DELETE CASCADE,</w:t>
              <w:br/>
              <w:t xml:space="preserve">  requested_tier VARCHAR(20) NOT NULL,</w:t>
              <w:br/>
              <w:t xml:space="preserve">  trigger_type VARCHAR(30) NOT NULL,</w:t>
              <w:br/>
              <w:t xml:space="preserve">  status VARCHAR(40) NOT NULL DEFAULT 'PENDING',</w:t>
              <w:br/>
              <w:t xml:space="preserve">  release_delay_expires_at TIMESTAMPTZ NULL,</w:t>
              <w:br/>
              <w:t xml:space="preserve">  cancelled_at TIMESTAMPTZ NULL,</w:t>
              <w:br/>
              <w:t xml:space="preserve">  completed_at TIMESTAMPTZ NULL,</w:t>
              <w:br/>
              <w:t xml:space="preserve">  created_at TIMESTAMPTZ NOT NULL DEFAULT NOW()</w:t>
              <w:br/>
              <w:t>);</w:t>
              <w:br/>
              <w:br/>
              <w:t>CREATE TABLE unlock_approvals (</w:t>
              <w:br/>
              <w:t xml:space="preserve">  id UUID PRIMARY KEY DEFAULT gen_random_uuid(),</w:t>
              <w:br/>
              <w:t xml:space="preserve">  unlock_request_id UUID NOT NULL REFERENCES unlock_requests(id) ON DELETE CASCADE,</w:t>
              <w:br/>
              <w:t xml:space="preserve">  verifier_id UUID NOT NULL REFERENCES vault_verifiers(id),</w:t>
              <w:br/>
              <w:t xml:space="preserve">  decision VARCHAR(20) NOT NULL,</w:t>
              <w:br/>
              <w:t xml:space="preserve">  auth_method VARCHAR(30) NOT NULL,</w:t>
              <w:br/>
              <w:t xml:space="preserve">  challenge_fingerprint TEXT NOT NULL,</w:t>
              <w:br/>
              <w:t xml:space="preserve">  authenticated_at TIMESTAMPTZ NOT NULL,</w:t>
              <w:br/>
              <w:t xml:space="preserve">  expires_at TIMESTAMPTZ NOT NULL,</w:t>
              <w:br/>
              <w:t xml:space="preserve">  created_at TIMESTAMPTZ NOT NULL DEFAULT NOW(),</w:t>
              <w:br/>
              <w:t xml:space="preserve">  UNIQUE(unlock_request_id, verifier_id)</w:t>
              <w:br/>
              <w:t>);</w:t>
              <w:br/>
              <w:br/>
              <w:t>CREATE TABLE consent_receipts (</w:t>
              <w:br/>
              <w:t xml:space="preserve">  id UUID PRIMARY KEY DEFAULT gen_random_uuid(),</w:t>
              <w:br/>
              <w:t xml:space="preserve">  subject_ref UUID NULL,</w:t>
              <w:br/>
              <w:t xml:space="preserve">  purpose_code VARCHAR(60) NOT NULL,</w:t>
              <w:br/>
              <w:t xml:space="preserve">  consent_text_version VARCHAR(30) NOT NULL,</w:t>
              <w:br/>
              <w:t xml:space="preserve">  granted_at TIMESTAMPTZ NOT NULL,</w:t>
              <w:br/>
              <w:t xml:space="preserve">  expires_at TIMESTAMPTZ NULL,</w:t>
              <w:br/>
              <w:t xml:space="preserve">  revoked_at TIMESTAMPTZ NULL,</w:t>
              <w:br/>
              <w:t xml:space="preserve">  evidence JSONB NOT NULL DEFAULT '{}'::jsonb</w:t>
              <w:br/>
              <w:t>);</w:t>
              <w:br/>
              <w:br/>
              <w:t>CREATE TABLE anonymous_leads (</w:t>
              <w:br/>
              <w:t xml:space="preserve">  id UUID PRIMARY KEY DEFAULT gen_random_uuid(),</w:t>
              <w:br/>
              <w:t xml:space="preserve">  lead_category VARCHAR(50) NOT NULL,</w:t>
              <w:br/>
              <w:t xml:space="preserve">  coverage_gap_bracket VARCHAR(50) NULL,</w:t>
              <w:br/>
              <w:t xml:space="preserve">  age_bracket VARCHAR(20) NULL,</w:t>
              <w:br/>
              <w:t xml:space="preserve">  product_intent VARCHAR(60) NULL,</w:t>
              <w:br/>
              <w:t xml:space="preserve">  contact_info_encrypted BYTEA NOT NULL,</w:t>
              <w:br/>
              <w:t xml:space="preserve">  assigned_partner_id UUID NULL,</w:t>
              <w:br/>
              <w:t xml:space="preserve">  billing_model VARCHAR(30) NOT NULL,</w:t>
              <w:br/>
              <w:t xml:space="preserve">  status VARCHAR(30) NOT NULL DEFAULT 'NEW',</w:t>
              <w:br/>
              <w:t xml:space="preserve">  created_at TIMESTAMPTZ NOT NULL DEFAULT NOW()</w:t>
              <w:br/>
              <w:t xml:space="preserve">  -- Intentionally no user_id / vault_id foreign key.</w:t>
              <w:br/>
              <w:t>);</w:t>
              <w:br/>
              <w:br/>
              <w:t>CREATE TABLE security_events (</w:t>
              <w:br/>
              <w:t xml:space="preserve">  id UUID PRIMARY KEY DEFAULT gen_random_uuid(),</w:t>
              <w:br/>
              <w:t xml:space="preserve">  vault_id UUID NULL,</w:t>
              <w:br/>
              <w:t xml:space="preserve">  actor_type VARCHAR(30) NOT NULL,</w:t>
              <w:br/>
              <w:t xml:space="preserve">  actor_ref_hash TEXT NULL,</w:t>
              <w:br/>
              <w:t xml:space="preserve">  event_type VARCHAR(80) NOT NULL,</w:t>
              <w:br/>
              <w:t xml:space="preserve">  event_payload JSONB NOT NULL DEFAULT '{}'::jsonb,</w:t>
              <w:br/>
              <w:t xml:space="preserve">  created_at TIMESTAMPTZ NOT NULL DEFAULT NOW()</w:t>
              <w:br/>
              <w:t>);</w:t>
              <w:br/>
              <w:br/>
              <w:t>-- v1.1.1 additions</w:t>
              <w:br/>
              <w:t>CREATE TABLE trusted_devices (</w:t>
              <w:br/>
              <w:t xml:space="preserve">  id UUID PRIMARY KEY DEFAULT gen_random_uuid(),</w:t>
              <w:br/>
              <w:t xml:space="preserve">  vault_id UUID NOT NULL REFERENCES vaults(id) ON DELETE CASCADE,</w:t>
              <w:br/>
              <w:t xml:space="preserve">  device_fingerprint_hash TEXT NOT NULL,</w:t>
              <w:br/>
              <w:t xml:space="preserve">  status VARCHAR(20) NOT NULL DEFAULT 'ACTIVE',</w:t>
              <w:br/>
              <w:t xml:space="preserve">  enrolled_at TIMESTAMPTZ NOT NULL DEFAULT NOW(),</w:t>
              <w:br/>
              <w:t xml:space="preserve">  revoked_at TIMESTAMPTZ NULL</w:t>
              <w:br/>
              <w:t>);</w:t>
              <w:br/>
              <w:br/>
              <w:t>CREATE TABLE unlock_disputes (</w:t>
              <w:br/>
              <w:t xml:space="preserve">  id UUID PRIMARY KEY DEFAULT gen_random_uuid(),</w:t>
              <w:br/>
              <w:t xml:space="preserve">  unlock_request_id UUID NOT NULL REFERENCES unlock_requests(id) ON DELETE CASCADE,</w:t>
              <w:br/>
              <w:t xml:space="preserve">  reason_code VARCHAR(60) NOT NULL,</w:t>
              <w:br/>
              <w:t xml:space="preserve">  status VARCHAR(30) NOT NULL DEFAULT 'OPEN',</w:t>
              <w:br/>
              <w:t xml:space="preserve">  opened_at TIMESTAMPTZ NOT NULL DEFAULT NOW(),</w:t>
              <w:br/>
              <w:t xml:space="preserve">  resolved_at TIMESTAMPTZ NULL</w:t>
              <w:br/>
              <w:t>);</w:t>
              <w:br/>
              <w:br/>
              <w:t>CREATE TABLE document_provenance (</w:t>
              <w:br/>
              <w:t xml:space="preserve">  id UUID PRIMARY KEY DEFAULT gen_random_uuid(),</w:t>
              <w:br/>
              <w:t xml:space="preserve">  vault_object_id UUID NOT NULL REFERENCES encrypted_vault_objects(id) ON DELETE CASCADE,</w:t>
              <w:br/>
              <w:t xml:space="preserve">  source_type VARCHAR(40) NOT NULL,</w:t>
              <w:br/>
              <w:t xml:space="preserve">  verification_status VARCHAR(40) NOT NULL,</w:t>
              <w:br/>
              <w:t xml:space="preserve">  content_fingerprint TEXT NOT NULL,</w:t>
              <w:br/>
              <w:t xml:space="preserve">  supersedes_document_id UUID NULL,</w:t>
              <w:br/>
              <w:t xml:space="preserve">  verified_at TIMESTAMPTZ NULL,</w:t>
              <w:br/>
              <w:t xml:space="preserve">  metadata JSONB NOT NULL DEFAULT '{}'::jsonb</w:t>
              <w:br/>
              <w:t>);</w:t>
              <w:br/>
              <w:br/>
              <w:t>CREATE TABLE portability_exports (</w:t>
              <w:br/>
              <w:t xml:space="preserve">  id UUID PRIMARY KEY DEFAULT gen_random_uuid(),</w:t>
              <w:br/>
              <w:t xml:space="preserve">  vault_id UUID NOT NULL REFERENCES vaults(id) ON DELETE CASCADE,</w:t>
              <w:br/>
              <w:t xml:space="preserve">  export_format_version INT NOT NULL,</w:t>
              <w:br/>
              <w:t xml:space="preserve">  manifest_fingerprint TEXT NOT NULL,</w:t>
              <w:br/>
              <w:t xml:space="preserve">  created_at TIMESTAMPTZ NOT NULL DEFAULT NOW()</w:t>
              <w:br/>
              <w:t>);</w:t>
              <w:br/>
              <w:br/>
              <w:t>-- logical additions to encrypted_vault_objects:</w:t>
              <w:br/>
              <w:t>-- object_revision BIGINT NOT NULL</w:t>
              <w:br/>
              <w:t>-- parent_revision BIGINT NULL</w:t>
              <w:br/>
              <w:t>-- writer_device_id UUID NULL REFERENCES trusted_devices(id)</w:t>
              <w:br/>
            </w:r>
          </w:p>
        </w:tc>
      </w:tr>
    </w:tbl>
    <w:p>
      <w:pPr>
        <w:pStyle w:val="Heading2"/>
      </w:pPr>
      <w:r>
        <w:t>6.1 Data Separation Rules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Vault ciphertext storage, lead storage, partner CRM data และ marketing analytics ต้องเป็น separate logical domains และ separate access roles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Lead tables ไม่มี direct user_id/vault_id; correlation หากจำเป็นใช้ one-time token/consent receipt linkage ที่ถูกจำกัดและมี retention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Contact targets ของ verifiers ต้อง encrypted at rest และเก็บ deterministic hash เฉพาะ use case ที่จำเป็นต่อ lookup/dedup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Death certificate/evidence files ต้องเป็น encrypted object พร้อม retention policy; URL แบบ public/predictable ห้ามใช้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Security events เป็น append-only/WORM-capable store และห้ามบันทึก plaintext sensitive payload</w:t>
      </w:r>
    </w:p>
    <w:p>
      <w:pPr>
        <w:pStyle w:val="Heading1"/>
      </w:pPr>
      <w:r>
        <w:t>7. Vault &amp; Unlock State Machine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DejaVu Sans Mono" w:hAnsi="DejaVu Sans Mono" w:eastAsia="DejaVu Sans Mono"/>
                <w:sz w:val="16"/>
              </w:rPr>
              <w:t>Vault lifecycle</w:t>
              <w:br/>
              <w:t>ACTIVE</w:t>
              <w:br/>
              <w:t xml:space="preserve"> -&gt; HEARTBEAT_MISSED</w:t>
              <w:br/>
              <w:t xml:space="preserve"> -&gt; OWNER_ESCALATION</w:t>
              <w:br/>
              <w:t xml:space="preserve"> -&gt; VERIFIER_CONTACTED</w:t>
              <w:br/>
              <w:t xml:space="preserve"> -&gt; ACTIVE                 (owner checks in)</w:t>
              <w:br/>
              <w:t xml:space="preserve"> -&gt; DEATH_VERIFICATION_PENDING</w:t>
              <w:br/>
              <w:t xml:space="preserve">      -&gt; DISPUTED</w:t>
              <w:br/>
              <w:t xml:space="preserve">           -&gt; SECURITY_FREEZE</w:t>
              <w:br/>
              <w:t xml:space="preserve">           -&gt; REJECTED / ACTIVE / DEATH_VERIFICATION_PENDING (explicit resolution)</w:t>
              <w:br/>
              <w:t xml:space="preserve">      -&gt; RELEASE_DELAY_48H</w:t>
              <w:br/>
              <w:t xml:space="preserve">           -&gt; SECURITY_FREEZE  (new fraud/conflict/owner-alive signal)</w:t>
              <w:br/>
              <w:t xml:space="preserve">           -&gt; UNLOCKED_TIER2</w:t>
              <w:br/>
              <w:br/>
              <w:t>Temporary delegation lifecycle</w:t>
              <w:br/>
              <w:t>ACTIVE</w:t>
              <w:br/>
              <w:t xml:space="preserve"> -&gt; TEMP_ACCESS_PENDING</w:t>
              <w:br/>
              <w:t xml:space="preserve"> -&gt; TEMP_ACCESS_ACTIVE</w:t>
              <w:br/>
              <w:t xml:space="preserve"> -&gt; TEMP_ACCESS_EXPIRED / TEMP_ACCESS_REVOKED</w:t>
              <w:br/>
              <w:br/>
              <w:t>Cancellation path:</w:t>
              <w:br/>
              <w:t>DEATH_VERIFICATION_PENDING / RELEASE_DELAY_48H</w:t>
              <w:br/>
              <w:t xml:space="preserve"> -&gt; CANCELLED_BY_OWNER</w:t>
              <w:br/>
              <w:t xml:space="preserve"> -&gt; ACTIVE</w:t>
              <w:br/>
              <w:br/>
              <w:t>Request terminal states:</w:t>
              <w:br/>
              <w:t>COMPLETED | CANCELLED | EXPIRED | REJECTED</w:t>
              <w:br/>
              <w:br/>
              <w:t>SECURITY_FREEZE is non-terminal and MUST NOT auto-complete by timer.</w:t>
            </w:r>
          </w:p>
        </w:tc>
      </w:tr>
    </w:tbl>
    <w:p>
      <w:pPr>
        <w:pStyle w:val="Heading2"/>
      </w:pPr>
      <w:r>
        <w:t>7.1 State Invariants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HEARTBEAT_MISSED, OWNER_ESCALATION และ VERIFIER_CONTACTED ไม่ปล่อย Tier 2 recovery material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RELEASE_DELAY_48H ต้องมี threshold condition satisfied ก่อนเข้า state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Owner cancellation invalidates pending escrow release for that request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Completed request ไม่ reuse approvals กับ request ใหม่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Card revoked หลัง request ถูกสร้างต้องมี policy ชัดเจนว่าจะ invalidate request หรือ require re-verification</w:t>
      </w:r>
    </w:p>
    <w:p>
      <w:pPr>
        <w:pStyle w:val="ListBullet"/>
        <w:spacing w:line="283" w:lineRule="auto"/>
      </w:pPr>
      <w:r>
        <w:rPr>
          <w:rFonts w:ascii="DejaVu Sans" w:hAnsi="DejaVu Sans" w:eastAsia="DejaVu Sans" w:cs="DejaVu Sans"/>
        </w:rPr>
        <w:t>SECURITY_FREEZE blocks Tier 2 release regardless of elapsed RELEASE_DELAY_48H until explicit dispute resolution policy succeeds.</w:t>
      </w:r>
    </w:p>
    <w:p>
      <w:pPr>
        <w:pStyle w:val="ListBullet"/>
        <w:spacing w:line="283" w:lineRule="auto"/>
      </w:pPr>
      <w:r>
        <w:rPr>
          <w:rFonts w:ascii="DejaVu Sans" w:hAnsi="DejaVu Sans" w:eastAsia="DejaVu Sans" w:cs="DejaVu Sans"/>
        </w:rPr>
        <w:t>Temporary delegated access cannot transition directly to UNLOCKED_TIER2 or satisfy post-death threshold by itself.</w:t>
      </w:r>
    </w:p>
    <w:p>
      <w:pPr>
        <w:pStyle w:val="ListBullet"/>
        <w:spacing w:line="283" w:lineRule="auto"/>
      </w:pPr>
      <w:r>
        <w:rPr>
          <w:rFonts w:ascii="DejaVu Sans" w:hAnsi="DejaVu Sans" w:eastAsia="DejaVu Sans" w:cs="DejaVu Sans"/>
        </w:rPr>
        <w:t>Authenticated stale revisions of security-sensitive objects must be rejected or surfaced as conflicts; cryptographic validity alone does not make an old revision current.</w:t>
      </w:r>
    </w:p>
    <w:p>
      <w:pPr>
        <w:pStyle w:val="Heading1"/>
      </w:pPr>
      <w:r>
        <w:t>8. Regulatory Compliance &amp; Security Guardrails (Thailand)</w:t>
      </w:r>
    </w:p>
    <w:p>
      <w:pPr>
        <w:pStyle w:val="Heading2"/>
      </w:pPr>
      <w:r>
        <w:t>8.1 PDPA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แยก purpose/consent ของ vault operation, sensitive data handling, marketing/lead generation และ partner contact อย่างชัดเจน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ข้อมูลสุขภาพและความเชื่อทางศาสนา/ปรัชญาเป็นข้อมูลส่วนบุคคลอ่อนไหวตามกรอบ PDPA มาตรา 26 และต้องมีฐานการประมวลผลที่เหมาะสม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Zero-knowledge encryption ลด exposure แต่ไม่ทำให้ platform พ้นหน้าที่ด้าน PDPA สำหรับ identity, metadata, contact, consent, logs และ processing ที่ platform ยังควบคุม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จัดทำ Record of Processing Activities, retention schedule, DSAR workflow, incident response และ processor/subprocessor register ก่อน production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ห้ามนำ vault-derived data ไปทำ behavioral advertising หรือ model training โดย default</w:t>
      </w:r>
    </w:p>
    <w:p>
      <w:pPr>
        <w:pStyle w:val="Heading2"/>
      </w:pPr>
      <w:r>
        <w:t>8.2 Insurance / OIC Regulatory Boundary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 w:cs="Noto Sans Thai"/>
                <w:b/>
                <w:i w:val="0"/>
                <w:sz w:val="21"/>
              </w:rPr>
              <w:t xml:space="preserve">Regulatory Assumption: </w:t>
            </w:r>
            <w:r>
              <w:rPr>
                <w:rFonts w:ascii="Noto Sans Thai" w:hAnsi="Noto Sans Thai" w:eastAsia="Noto Sans Thai" w:cs="Noto Sans Thai"/>
                <w:b w:val="0"/>
                <w:i w:val="0"/>
                <w:sz w:val="21"/>
              </w:rPr>
              <w:t>การเรียกค่าบริการว่า CPL, marketing fee หรือ SaaS fee ไม่ได้ยืนยันด้วยตัวมันเองว่ากิจกรรมไม่เข้าข่ายการชี้ช่อง/เสนอขาย/นายหน้าประกันภัย ต้องให้ Thai insurance counsel และ/หรือ คปภ. ยืนยัน operating model ก่อน launch</w:t>
            </w:r>
          </w:p>
        </w:tc>
      </w:tr>
    </w:tbl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v1.1.1 product behavior default เป็น educational/contextual card + user-initiated request to contact licensed partner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Partner license/status ต้องตรวจสอบและมี last_verified_at; UI ห้ามแสดง licensed status ที่หมดอายุโดยไม่เตือน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Platform ไม่รับ percentage commission จาก premium ใน v1.1.1 เว้นแต่โครงสร้างนิติบุคคล/ใบอนุญาตรองรับและผ่าน legal review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Agent Sticky Card ต้องไม่ทำให้ผู้ใช้เข้าใจว่า platform รับรองคำแนะนำหรือผลิตภัณฑ์เฉพาะ</w:t>
      </w:r>
    </w:p>
    <w:p>
      <w:pPr>
        <w:pStyle w:val="Heading2"/>
      </w:pPr>
      <w:r>
        <w:t>8.3 Legal Service / Lawyer Directory Boundary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v1.1.1 ใช้ fixed platform administrative/directory/software fee เป็น baseline; legal fee และ engagement อยู่ระหว่าง client กับ law firm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ห้าม auto-calculate platform revenue จากเปอร์เซ็นต์ค่าว่าความจนกว่าจะมี legal/ethics opinion ที่เฉพาะเจาะจง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ระบบแสดง license/firm identity และ conflict disclosures ตามข้อมูลที่ partner ให้และการตรวจสอบที่ทำได้</w:t>
      </w:r>
    </w:p>
    <w:p>
      <w:pPr>
        <w:pStyle w:val="Heading2"/>
      </w:pPr>
      <w:r>
        <w:t>8.4 Will &amp; Living Will Legal Guardrails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Will templates ต้อง versioned และผ่าน counsel review ก่อนเปิดเป็น production template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Section 1656 flow ต้องมี signing ceremony checklist เรื่องพยานอย่างน้อย 2 คนพร้อมกัน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Section 1657 flow ต้องเรียก Handwritten Will Guide และห้ามทำให้ generated printout ถูกเข้าใจว่าเป็น holographic will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Living Will อ้างอิงสิทธิตาม พ.ร.บ.สุขภาพแห่งชาติ มาตรา 12 และควรเชื่อม/อ้างอิง e-Living Will official resources เมื่อเหมาะสม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Emergency screen ต้องแยก “self-reported medical info” กับ legally recognized document</w:t>
      </w:r>
    </w:p>
    <w:p>
      <w:pPr>
        <w:pStyle w:val="Heading2"/>
      </w:pPr>
      <w:r>
        <w:t>8.5 Social Security / Benefit Presentation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ค่าทำศพ/สิทธิประโยชน์ต้องแสดงแบบ eligibility-dependent ตามมาตรา/สถานะและเงื่อนไขปัจจุบัน ไม่ใช้ copy “ทุกคนได้ 50,000 บาท”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benefit amounts ต้อง config/version ได้และมี source/effective date เพราะสิทธิเปลี่ยนได้</w:t>
      </w:r>
    </w:p>
    <w:p>
      <w:pPr>
        <w:pStyle w:val="ListBullet"/>
        <w:spacing w:after="40"/>
      </w:pPr>
      <w:r>
        <w:rPr>
          <w:rFonts w:ascii="Noto Sans Thai" w:hAnsi="Noto Sans Thai" w:eastAsia="Noto Sans Thai" w:cs="Noto Sans Thai"/>
          <w:b w:val="0"/>
          <w:i w:val="0"/>
          <w:sz w:val="21"/>
        </w:rPr>
        <w:t>ถ้าข้อมูลไม่แน่นอนให้พาไป official source/contact แทนการคำนวณเป็นสิทธิแน่นอน</w:t>
      </w:r>
    </w:p>
    <w:p>
      <w:pPr>
        <w:pStyle w:val="Heading2"/>
      </w:pPr>
      <w:r>
        <w:t>8.6 Incapacity / Delegated Access Boundary</w:t>
      </w:r>
    </w:p>
    <w:p>
      <w:pPr>
        <w:spacing w:line="283" w:lineRule="auto"/>
      </w:pPr>
      <w:r>
        <w:rPr>
          <w:rFonts w:ascii="DejaVu Sans" w:hAnsi="DejaVu Sans" w:eastAsia="DejaVu Sans" w:cs="DejaVu Sans"/>
        </w:rPr>
        <w:t>Temporary delegated access is a product authorization mechanism and MUST NOT be represented as a court order, statutory authority, power of attorney or medical decision-making authority unless the relevant legal document/status has been separately validated under an approved Thai legal workflow.</w:t>
      </w:r>
    </w:p>
    <w:p>
      <w:pPr>
        <w:pStyle w:val="Heading1"/>
      </w:pPr>
      <w:r>
        <w:t>9. Non-Functional Requirements (NFR)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83" w:lineRule="auto" w:after="0"/>
              <w:jc w:val="left"/>
            </w:pPr>
            <w:r>
              <w:rPr>
                <w:rFonts w:ascii="DejaVu Sans" w:hAnsi="DejaVu Sans" w:eastAsia="DejaVu Sans" w:cs="DejaVu Sans"/>
                <w:b/>
                <w:sz w:val="15"/>
              </w:rPr>
              <w:t>ID</w:t>
            </w:r>
          </w:p>
        </w:tc>
        <w:tc>
          <w:tcPr>
            <w:tcW w:type="dxa" w:w="352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83" w:lineRule="auto" w:after="0"/>
              <w:jc w:val="left"/>
            </w:pPr>
            <w:r>
              <w:rPr>
                <w:rFonts w:ascii="DejaVu Sans" w:hAnsi="DejaVu Sans" w:eastAsia="DejaVu Sans" w:cs="DejaVu Sans"/>
                <w:b/>
                <w:sz w:val="15"/>
              </w:rPr>
              <w:t>Requirement</w:t>
            </w:r>
          </w:p>
        </w:tc>
        <w:tc>
          <w:tcPr>
            <w:tcW w:type="dxa" w:w="597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83" w:lineRule="auto" w:after="0"/>
              <w:jc w:val="left"/>
            </w:pPr>
            <w:r>
              <w:rPr>
                <w:rFonts w:ascii="DejaVu Sans" w:hAnsi="DejaVu Sans" w:eastAsia="DejaVu Sans" w:cs="DejaVu Sans"/>
                <w:b/>
                <w:sz w:val="15"/>
              </w:rPr>
              <w:t>Target / Acceptance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NFR-SEC-01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Cryptographic separation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Tier 1 recovery test cannot decrypt any Tier 2 fixture; automated invariant test in CI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NFR-SEC-02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No nonce reuse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Unique nonce per key/object encryption; crypto test suite detects duplicate nonce in generated fixtures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NFR-SEC-03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Authentication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Passkey/WebAuthn preferred; MFA for sensitive recovery/admin operations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NFR-SEC-04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Origin isolation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vault origin has no third-party scripts/pixels/session replay; CSP blocks unexpected network destinations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NFR-SEC-05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Auditability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All verifier/recovery/card/key lifecycle events recorded append-only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NFR-PRIV-01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Data minimization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No raw financial amounts in server analytics; lead payload minimum necessary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NFR-REL-01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Durability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Encrypted vault/object backups multi-zone; recovery exercises scheduled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NFR-REL-02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RPO/RTO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Target RPO &lt;= 15 min metadata / &lt;= 24 h immutable backup checkpoint; RTO target &lt;= 4 h for core access (subject to cost)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NFR-PERF-01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Vault UX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Local decrypt/render P95 &lt; 2 s for normal vault; attachment streaming/progressive decrypt for large files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NFR-A11Y-01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Accessibility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WCAG 2.2 AA target for core flows, especially bereavement/emergency screens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NFR-I18N-01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Localization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Thai-first; English optional; legal/benefit copy versioned by locale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NFR-COMP-01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Retention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5"/>
              </w:rPr>
              <w:t>Documented retention/deletion rules for evidence, leads, logs and partner data</w:t>
            </w:r>
          </w:p>
        </w:tc>
      </w:tr>
      <w:tr>
        <w:tc>
          <w:tcPr>
            <w:tcW w:type="dxa" w:w="3389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NFR-SEC-06</w:t>
            </w:r>
          </w:p>
        </w:tc>
        <w:tc>
          <w:tcPr>
            <w:tcW w:type="dxa" w:w="3389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Rollback protection</w:t>
            </w:r>
          </w:p>
        </w:tc>
        <w:tc>
          <w:tcPr>
            <w:tcW w:type="dxa" w:w="3389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Security-sensitive stale revisions cannot silently replace newer committed revisions; automated concurrency/rollback tests in CI</w:t>
            </w:r>
          </w:p>
        </w:tc>
      </w:tr>
      <w:tr>
        <w:tc>
          <w:tcPr>
            <w:tcW w:type="dxa" w:w="3389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NFR-ID-01</w:t>
            </w:r>
          </w:p>
        </w:tc>
        <w:tc>
          <w:tcPr>
            <w:tcW w:type="dxa" w:w="3389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Verifier identity assurance</w:t>
            </w:r>
          </w:p>
        </w:tc>
        <w:tc>
          <w:tcPr>
            <w:tcW w:type="dxa" w:w="3389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Recovery policy can require configured verifier assurance level independently of authentication method/provider</w:t>
            </w:r>
          </w:p>
        </w:tc>
      </w:tr>
      <w:tr>
        <w:tc>
          <w:tcPr>
            <w:tcW w:type="dxa" w:w="3389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NFR-REL-03</w:t>
            </w:r>
          </w:p>
        </w:tc>
        <w:tc>
          <w:tcPr>
            <w:tcW w:type="dxa" w:w="3389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Portable recovery</w:t>
            </w:r>
          </w:p>
        </w:tc>
        <w:tc>
          <w:tcPr>
            <w:tcW w:type="dxa" w:w="3389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Owner can export a versioned encrypted recovery bundle and validate manifest integrity without plaintext server processing</w:t>
            </w:r>
          </w:p>
        </w:tc>
      </w:tr>
      <w:tr>
        <w:tc>
          <w:tcPr>
            <w:tcW w:type="dxa" w:w="3389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NFR-DUR-01</w:t>
            </w:r>
          </w:p>
        </w:tc>
        <w:tc>
          <w:tcPr>
            <w:tcW w:type="dxa" w:w="3389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Service exit continuity</w:t>
            </w:r>
          </w:p>
        </w:tc>
        <w:tc>
          <w:tcPr>
            <w:tcW w:type="dxa" w:w="3389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Documented shutdown/export/key-handling runbook tested before production and reviewed at least annually</w:t>
            </w:r>
          </w:p>
        </w:tc>
      </w:tr>
      <w:tr>
        <w:tc>
          <w:tcPr>
            <w:tcW w:type="dxa" w:w="3389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NFR-DATA-01</w:t>
            </w:r>
          </w:p>
        </w:tc>
        <w:tc>
          <w:tcPr>
            <w:tcW w:type="dxa" w:w="3389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Legacy freshness</w:t>
            </w:r>
          </w:p>
        </w:tc>
        <w:tc>
          <w:tcPr>
            <w:tcW w:type="dxa" w:w="3389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Configurable freshness windows for verifier/contact/policy/recovery-card metadata; stale state visible to owner without exposing plaintext to analytics</w:t>
            </w:r>
          </w:p>
        </w:tc>
      </w:tr>
    </w:tbl>
    <w:p>
      <w:pPr>
        <w:spacing w:after="0"/>
      </w:pPr>
    </w:p>
    <w:p>
      <w:pPr>
        <w:pStyle w:val="Heading1"/>
      </w:pPr>
      <w:r>
        <w:t>10. Analytics, Observability &amp; Privacy-Safe Telemetry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Operational telemetry may capture latency, error code, browser family, crypto_version and object count bucket but never plaintext values/content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Product analytics must use allow-listed events and payload schemas; unknown fields rejected server-side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Coverage gap raw values remain local; coarse bucket only after documented need and consent/legal basis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Security events separated from growth analytics and retained according to security/legal policy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Partner/lead conversion measurement uses lead_id and partner status; avoid joining back to vault content</w:t>
      </w:r>
    </w:p>
    <w:p>
      <w:pPr>
        <w:pStyle w:val="ListBullet"/>
        <w:spacing w:line="283" w:lineRule="auto"/>
      </w:pPr>
      <w:r>
        <w:rPr>
          <w:rFonts w:ascii="DejaVu Sans" w:hAnsi="DejaVu Sans" w:eastAsia="DejaVu Sans" w:cs="DejaVu Sans"/>
        </w:rPr>
        <w:t>Freshness telemetry may record coarse status such as CURRENT/STALE/UNKNOWN and object-category counts, but must not send policy numbers, balances, document content or verifier contact values.</w:t>
      </w:r>
    </w:p>
    <w:p>
      <w:pPr>
        <w:pStyle w:val="ListBullet"/>
        <w:spacing w:line="283" w:lineRule="auto"/>
      </w:pPr>
      <w:r>
        <w:rPr>
          <w:rFonts w:ascii="DejaVu Sans" w:hAnsi="DejaVu Sans" w:eastAsia="DejaVu Sans" w:cs="DejaVu Sans"/>
        </w:rPr>
        <w:t>Device/revision telemetry may record opaque device ID, revision sequence and conflict/error codes; plaintext semantic diffs stay client-side.</w:t>
      </w:r>
    </w:p>
    <w:p>
      <w:pPr>
        <w:pStyle w:val="Heading1"/>
      </w:pPr>
      <w:r>
        <w:t>11. Monetization &amp; Packaging - v1.1.1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83" w:lineRule="auto" w:after="0"/>
              <w:jc w:val="left"/>
            </w:pPr>
            <w:r>
              <w:rPr>
                <w:rFonts w:ascii="DejaVu Sans" w:hAnsi="DejaVu Sans" w:eastAsia="DejaVu Sans" w:cs="DejaVu Sans"/>
                <w:b/>
                <w:sz w:val="16"/>
              </w:rPr>
              <w:t>Revenue Stream</w:t>
            </w:r>
          </w:p>
        </w:tc>
        <w:tc>
          <w:tcPr>
            <w:tcW w:type="dxa" w:w="374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83" w:lineRule="auto" w:after="0"/>
              <w:jc w:val="left"/>
            </w:pPr>
            <w:r>
              <w:rPr>
                <w:rFonts w:ascii="DejaVu Sans" w:hAnsi="DejaVu Sans" w:eastAsia="DejaVu Sans" w:cs="DejaVu Sans"/>
                <w:b/>
                <w:sz w:val="16"/>
              </w:rPr>
              <w:t>Model</w:t>
            </w:r>
          </w:p>
        </w:tc>
        <w:tc>
          <w:tcPr>
            <w:tcW w:type="dxa" w:w="51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83" w:lineRule="auto" w:after="0"/>
              <w:jc w:val="left"/>
            </w:pPr>
            <w:r>
              <w:rPr>
                <w:rFonts w:ascii="DejaVu Sans" w:hAnsi="DejaVu Sans" w:eastAsia="DejaVu Sans" w:cs="DejaVu Sans"/>
                <w:b/>
                <w:sz w:val="16"/>
              </w:rPr>
              <w:t>Guardrail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Lifetime Vault Pass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990 THB one-time (hypothesis)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covers vault features/initial physical card; does not promise unlimited telecom operations forever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Continuity Service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299 THB/year (hypothesis)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funds heartbeat, SMS/IVR, continuity operations; cancellation must not destroy access to already-owned vault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Agent SaaS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490-990 THB/month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relationship/branding/invite tools; no plaintext access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Contextual Ads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fixed placement/directory/marketing arrangement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matching local; no third-party behavioral tracking in vault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Insurance Leads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Fixed CPL / marketing fee subject to legal confirmation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explicit user request + licensed partner + separate consent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Legal/Funeral Directory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fixed admin/directory/software fee baseline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service contract/fee between user and provider where applicable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Corporate HR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per employee / annual enterprise plan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strict separation of employer data vs personal vault</w:t>
            </w:r>
          </w:p>
        </w:tc>
      </w:tr>
    </w:tbl>
    <w:p>
      <w:pPr>
        <w:spacing w:after="0"/>
      </w:pPr>
    </w:p>
    <w:p>
      <w:pPr>
        <w:pStyle w:val="Heading1"/>
      </w:pPr>
      <w:r>
        <w:t>12. Delivery Scope &amp; Phasing</w:t>
      </w:r>
    </w:p>
    <w:p>
      <w:pPr>
        <w:pStyle w:val="Heading2"/>
      </w:pPr>
      <w:r>
        <w:t>Phase 0 - Legal/Security Design Freeze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Thai counsel review of will templates, Living Will copy, insurance lead model and legal directory model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ADR: key hierarchy, crypto library, recovery threshold, escrow release, web threat model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Abuse-case workshop: owner alive, family dispute, malicious verifier, partner compromise, lost card, shared device, death certificate fraud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Data map / PDPA RoPA / retention model</w:t>
      </w:r>
    </w:p>
    <w:p>
      <w:pPr>
        <w:pStyle w:val="ListBullet"/>
        <w:spacing w:line="283" w:lineRule="auto"/>
      </w:pPr>
      <w:r>
        <w:rPr>
          <w:rFonts w:ascii="DejaVu Sans" w:hAnsi="DejaVu Sans" w:eastAsia="DejaVu Sans" w:cs="DejaVu Sans"/>
        </w:rPr>
        <w:t>Owner/device recovery threat model + tested owner-held recovery path</w:t>
      </w:r>
    </w:p>
    <w:p>
      <w:pPr>
        <w:pStyle w:val="ListBullet"/>
        <w:spacing w:line="283" w:lineRule="auto"/>
      </w:pPr>
      <w:r>
        <w:rPr>
          <w:rFonts w:ascii="DejaVu Sans" w:hAnsi="DejaVu Sans" w:eastAsia="DejaVu Sans" w:cs="DejaVu Sans"/>
        </w:rPr>
        <w:t>Service-sunset / portable recovery format decision and documented minimum export contract</w:t>
      </w:r>
    </w:p>
    <w:p>
      <w:pPr>
        <w:pStyle w:val="ListBullet"/>
        <w:spacing w:line="283" w:lineRule="auto"/>
      </w:pPr>
      <w:r>
        <w:rPr>
          <w:rFonts w:ascii="DejaVu Sans" w:hAnsi="DejaVu Sans" w:eastAsia="DejaVu Sans" w:cs="DejaVu Sans"/>
        </w:rPr>
        <w:t>Verifier identity-assurance policy baseline and provider abstraction</w:t>
      </w:r>
    </w:p>
    <w:p>
      <w:pPr>
        <w:pStyle w:val="Heading2"/>
      </w:pPr>
      <w:r>
        <w:t>Phase 1 - Core Vault MVP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Account + Passkey/MFA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Tier 1/Tier 2 encrypted objects with separate keys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5-item Free Tier asset/liability/insurance mapping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Will guide v1 + encrypted attachments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Basic verifier invite and recovery kit without automated dead-man escalation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Local coverage gap calculation</w:t>
      </w:r>
    </w:p>
    <w:p>
      <w:pPr>
        <w:pStyle w:val="ListBullet"/>
        <w:spacing w:line="283" w:lineRule="auto"/>
      </w:pPr>
      <w:r>
        <w:rPr>
          <w:rFonts w:ascii="DejaVu Sans" w:hAnsi="DejaVu Sans" w:eastAsia="DejaVu Sans" w:cs="DejaVu Sans"/>
        </w:rPr>
        <w:t>Trusted-device enrollment/revocation + security-sensitive revision lineage</w:t>
      </w:r>
    </w:p>
    <w:p>
      <w:pPr>
        <w:pStyle w:val="ListBullet"/>
        <w:spacing w:line="283" w:lineRule="auto"/>
      </w:pPr>
      <w:r>
        <w:rPr>
          <w:rFonts w:ascii="DejaVu Sans" w:hAnsi="DejaVu Sans" w:eastAsia="DejaVu Sans" w:cs="DejaVu Sans"/>
        </w:rPr>
        <w:t>Basic document provenance metadata and freshness indicators</w:t>
      </w:r>
    </w:p>
    <w:p>
      <w:pPr>
        <w:pStyle w:val="Heading2"/>
      </w:pPr>
      <w:r>
        <w:t>Phase 2 - Recovery &amp; Bereavement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Physical card lifecycle/revocation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Request-scoped 2-of-3 recovery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48-hour release delay + multi-channel owner cancellation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Stage-based bereavement checklist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OIC My Legacy guided handoff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Benefit source/version configuration</w:t>
      </w:r>
    </w:p>
    <w:p>
      <w:pPr>
        <w:pStyle w:val="ListBullet"/>
        <w:spacing w:line="283" w:lineRule="auto"/>
      </w:pPr>
      <w:r>
        <w:rPr>
          <w:rFonts w:ascii="DejaVu Sans" w:hAnsi="DejaVu Sans" w:eastAsia="DejaVu Sans" w:cs="DejaVu Sans"/>
        </w:rPr>
        <w:t>DISPUTED / SECURITY_FREEZE recovery workflow and operational runbook</w:t>
      </w:r>
    </w:p>
    <w:p>
      <w:pPr>
        <w:pStyle w:val="ListBullet"/>
        <w:spacing w:line="283" w:lineRule="auto"/>
      </w:pPr>
      <w:r>
        <w:rPr>
          <w:rFonts w:ascii="DejaVu Sans" w:hAnsi="DejaVu Sans" w:eastAsia="DejaVu Sans" w:cs="DejaVu Sans"/>
        </w:rPr>
        <w:t>Portable encrypted export + vault closure / cryptographic-erasure workflow</w:t>
      </w:r>
    </w:p>
    <w:p>
      <w:pPr>
        <w:pStyle w:val="ListBullet"/>
        <w:spacing w:line="283" w:lineRule="auto"/>
      </w:pPr>
      <w:r>
        <w:rPr>
          <w:rFonts w:ascii="DejaVu Sans" w:hAnsi="DejaVu Sans" w:eastAsia="DejaVu Sans" w:cs="DejaVu Sans"/>
        </w:rPr>
        <w:t>Temporary delegated-access pilot only after legal/security policy review</w:t>
      </w:r>
    </w:p>
    <w:p>
      <w:pPr>
        <w:pStyle w:val="Heading2"/>
      </w:pPr>
      <w:r>
        <w:t>Phase 3 - Monetization &amp; B2B2C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Privacy-Limited Quote + consent receipts + lead isolation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Agent portal/sticky card/license verification workflow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Corporate HR benefit catalog and beneficiary planning statuses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Partner directory/billing and conversion feedback loop</w:t>
      </w:r>
    </w:p>
    <w:p>
      <w:pPr>
        <w:pStyle w:val="Heading1"/>
      </w:pPr>
      <w:r>
        <w:t>13. Architecture / Security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4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83" w:lineRule="auto" w:after="0"/>
              <w:jc w:val="left"/>
            </w:pPr>
            <w:r>
              <w:rPr>
                <w:rFonts w:ascii="DejaVu Sans" w:hAnsi="DejaVu Sans" w:eastAsia="DejaVu Sans" w:cs="DejaVu Sans"/>
                <w:b/>
                <w:sz w:val="17"/>
              </w:rPr>
              <w:t>ID</w:t>
            </w:r>
          </w:p>
        </w:tc>
        <w:tc>
          <w:tcPr>
            <w:tcW w:type="dxa" w:w="950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83" w:lineRule="auto" w:after="0"/>
              <w:jc w:val="left"/>
            </w:pPr>
            <w:r>
              <w:rPr>
                <w:rFonts w:ascii="DejaVu Sans" w:hAnsi="DejaVu Sans" w:eastAsia="DejaVu Sans" w:cs="DejaVu Sans"/>
                <w:b/>
                <w:sz w:val="17"/>
              </w:rPr>
              <w:t>Acceptance Criterion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AC-01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A Tier 1 recovery fixture cannot derive K_TIER2 or decrypt Tier 2 ciphertext under any supported client path.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AC-02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Every encrypted object contains a unique nonce for a given key and has authenticated AAD binding tier/object/schema identity.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AC-03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No unlock approval persists as a reusable verifier boolean; all approvals are request-scoped and expiring.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AC-04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Inactivity state transitions never release Tier 2 key material without threshold/death-verification policy.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AC-05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Revoking/reissuing a physical card invalidates prior generation and offers/share-rotation flow when compromise is suspected.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AC-06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Agent/HR/partner roles cannot query decrypted vault content via any server API.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AC-07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vault origin loads zero third-party tracking scripts and CSP tests fail build/deploy on unauthorized endpoints.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AC-08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Lead creation is impossible without a versioned consent receipt and minimum-necessary payload.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AC-09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Section 1657 export clearly states generated file is a guide, not the final handwritten will.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AC-10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Section 1656 signing guide explicitly requires at least two witnesses present together at signature time.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AC-11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Benefit amounts and regulatory references are source/versioned and can be updated without redeploying vault crypto.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AC-12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7"/>
              </w:rPr>
              <w:t>Recovery/support runbook demonstrates no support-admin bypass that yields plaintext or MVK.</w:t>
            </w:r>
          </w:p>
        </w:tc>
      </w:tr>
      <w:tr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AC-13</w:t>
            </w:r>
          </w:p>
        </w:tc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Platform support cannot reset an owner account in a way that yields plaintext vault content or Tier keys without owner-held recovery material.</w:t>
            </w:r>
          </w:p>
        </w:tc>
      </w:tr>
      <w:tr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AC-14</w:t>
            </w:r>
          </w:p>
        </w:tc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Revoked devices cannot decrypt newly rotated/re-wrapped key material, and new-device enrollment generates a security notification/event.</w:t>
            </w:r>
          </w:p>
        </w:tc>
      </w:tr>
      <w:tr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AC-15</w:t>
            </w:r>
          </w:p>
        </w:tc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A request in DISPUTED / SECURITY_FREEZE cannot release Tier 2 material or auto-complete when RELEASE_DELAY_48H expires.</w:t>
            </w:r>
          </w:p>
        </w:tc>
      </w:tr>
      <w:tr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AC-16</w:t>
            </w:r>
          </w:p>
        </w:tc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Security-sensitive stale revisions cannot silently overwrite a newer committed revision; conflict/rollback tests cover offline reconnect and replay.</w:t>
            </w:r>
          </w:p>
        </w:tc>
      </w:tr>
      <w:tr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AC-17</w:t>
            </w:r>
          </w:p>
        </w:tc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A valid portable recovery export contains a versioned integrity-checkable manifest and can be parsed/validated without access to production plaintext APIs.</w:t>
            </w:r>
          </w:p>
        </w:tc>
      </w:tr>
      <w:tr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AC-18</w:t>
            </w:r>
          </w:p>
        </w:tc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Tier 2 recovery policy can enforce verifier identity-assurance requirements independently of authentication provider/method.</w:t>
            </w:r>
          </w:p>
        </w:tc>
      </w:tr>
      <w:tr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AC-19</w:t>
            </w:r>
          </w:p>
        </w:tc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Temporary delegated access is time-bounded/revocable and cannot derive K_TIER2 or satisfy post-death unlock by itself.</w:t>
            </w:r>
          </w:p>
        </w:tc>
      </w:tr>
      <w:tr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AC-20</w:t>
            </w:r>
          </w:p>
        </w:tc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Vault closure revokes cards/verifiers and destroys/revokes applicable wrapped recovery material before ciphertext deletion according to retention policy.</w:t>
            </w:r>
          </w:p>
        </w:tc>
      </w:tr>
    </w:tbl>
    <w:p>
      <w:pPr>
        <w:spacing w:after="0"/>
      </w:pPr>
    </w:p>
    <w:p>
      <w:pPr>
        <w:pStyle w:val="Heading1"/>
      </w:pPr>
      <w:r>
        <w:t>14. Open Decisions / ADR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83" w:lineRule="auto" w:after="0"/>
              <w:jc w:val="left"/>
            </w:pPr>
            <w:r>
              <w:rPr>
                <w:rFonts w:ascii="DejaVu Sans" w:hAnsi="DejaVu Sans" w:eastAsia="DejaVu Sans" w:cs="DejaVu Sans"/>
                <w:b/>
                <w:sz w:val="16"/>
              </w:rPr>
              <w:t>ADR</w:t>
            </w:r>
          </w:p>
        </w:tc>
        <w:tc>
          <w:tcPr>
            <w:tcW w:type="dxa" w:w="446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83" w:lineRule="auto" w:after="0"/>
              <w:jc w:val="left"/>
            </w:pPr>
            <w:r>
              <w:rPr>
                <w:rFonts w:ascii="DejaVu Sans" w:hAnsi="DejaVu Sans" w:eastAsia="DejaVu Sans" w:cs="DejaVu Sans"/>
                <w:b/>
                <w:sz w:val="16"/>
              </w:rPr>
              <w:t>Decision Required</w:t>
            </w:r>
          </w:p>
        </w:tc>
        <w:tc>
          <w:tcPr>
            <w:tcW w:type="dxa" w:w="50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83" w:lineRule="auto" w:after="0"/>
              <w:jc w:val="left"/>
            </w:pPr>
            <w:r>
              <w:rPr>
                <w:rFonts w:ascii="DejaVu Sans" w:hAnsi="DejaVu Sans" w:eastAsia="DejaVu Sans" w:cs="DejaVu Sans"/>
                <w:b/>
                <w:sz w:val="16"/>
              </w:rPr>
              <w:t>Default v1.1.1 Position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ADR-001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AES-256-GCM vs XChaCha20-Poly1305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Either acceptable via vetted library; choose one canonical format + versioning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ADR-002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Owner account/device recovery construction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Owner-held recovery material + trusted-device lifecycle + local re-wrap; no support-admin plaintext/key reset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ADR-003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Exact Shamir topology / escrow implementation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2-of-3 with platform + 2 owner-selected trusted persons; agent not default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ADR-004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Death certificate verification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Manual/provider/official verification route; no automatic OCR-only approval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ADR-005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Tier 1 authentication policy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Card + designated verifier/auth; must not disclose Tier 2 material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ADR-006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Web app vs native companion for higher-assurance vault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Web MVP with hardened origin; evaluate signed native/PWA companion for stronger assurance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ADR-007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Continuity pricing and telecom cost envelope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Separate recurring continuity entitlement from lifetime vault ownership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ADR-008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OIC integration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Guided handoff until official API/agreement confirmed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ADR-009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Partner licensing verification source/cadence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Use official verification where available; record last_verified_at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ADR-010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Sensitive data lawful bases and explicit consent UX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Finalize with DPO/legal counsel and RoPA</w:t>
            </w:r>
          </w:p>
        </w:tc>
      </w:tr>
      <w:tr>
        <w:tc>
          <w:tcPr>
            <w:tcW w:type="dxa" w:w="3389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ADR-011</w:t>
            </w:r>
          </w:p>
        </w:tc>
        <w:tc>
          <w:tcPr>
            <w:tcW w:type="dxa" w:w="3389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Verifier identity proofing provider / assurance mapping</w:t>
            </w:r>
          </w:p>
        </w:tc>
        <w:tc>
          <w:tcPr>
            <w:tcW w:type="dxa" w:w="3389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Provider-agnostic IAL policy; evaluate ThaiD/regulated identity routes without making any provider a Tier 2 cryptographic root</w:t>
            </w:r>
          </w:p>
        </w:tc>
      </w:tr>
      <w:tr>
        <w:tc>
          <w:tcPr>
            <w:tcW w:type="dxa" w:w="3389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ADR-012</w:t>
            </w:r>
          </w:p>
        </w:tc>
        <w:tc>
          <w:tcPr>
            <w:tcW w:type="dxa" w:w="3389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Portable recovery bundle format and service-sunset escrow policy</w:t>
            </w:r>
          </w:p>
        </w:tc>
        <w:tc>
          <w:tcPr>
            <w:tcW w:type="dxa" w:w="3389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Documented versioned encrypted bundle + annual service-exit exercise</w:t>
            </w:r>
          </w:p>
        </w:tc>
      </w:tr>
      <w:tr>
        <w:tc>
          <w:tcPr>
            <w:tcW w:type="dxa" w:w="3389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ADR-013</w:t>
            </w:r>
          </w:p>
        </w:tc>
        <w:tc>
          <w:tcPr>
            <w:tcW w:type="dxa" w:w="3389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Multi-device concurrency / revision protocol</w:t>
            </w:r>
          </w:p>
        </w:tc>
        <w:tc>
          <w:tcPr>
            <w:tcW w:type="dxa" w:w="3389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Authenticated monotonic revision lineage; reject/surface stale security-sensitive writes</w:t>
            </w:r>
          </w:p>
        </w:tc>
      </w:tr>
      <w:tr>
        <w:tc>
          <w:tcPr>
            <w:tcW w:type="dxa" w:w="3389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ADR-014</w:t>
            </w:r>
          </w:p>
        </w:tc>
        <w:tc>
          <w:tcPr>
            <w:tcW w:type="dxa" w:w="3389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Temporary incapacity / delegated-access legal model</w:t>
            </w:r>
          </w:p>
        </w:tc>
        <w:tc>
          <w:tcPr>
            <w:tcW w:type="dxa" w:w="3389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Separate from post-death flow; limited pilot only after Thai legal/security review</w:t>
            </w:r>
          </w:p>
        </w:tc>
      </w:tr>
      <w:tr>
        <w:tc>
          <w:tcPr>
            <w:tcW w:type="dxa" w:w="3389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ADR-015</w:t>
            </w:r>
          </w:p>
        </w:tc>
        <w:tc>
          <w:tcPr>
            <w:tcW w:type="dxa" w:w="3389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Document provenance verification sources</w:t>
            </w:r>
          </w:p>
        </w:tc>
        <w:tc>
          <w:tcPr>
            <w:tcW w:type="dxa" w:w="3389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Start SELF_DECLARED/USER_UPLOADED; add provider/official verification only with defined evidence and freshness rules</w:t>
            </w:r>
          </w:p>
        </w:tc>
      </w:tr>
    </w:tbl>
    <w:p>
      <w:pPr>
        <w:spacing w:after="0"/>
      </w:pPr>
    </w:p>
    <w:p>
      <w:pPr>
        <w:pStyle w:val="Heading1"/>
      </w:pPr>
      <w:r>
        <w:t>15. Regulatory &amp; Reference Sources Used for v1.1.1</w:t>
      </w:r>
    </w:p>
    <w:p>
      <w:pPr>
        <w:spacing w:after="60"/>
      </w:pPr>
      <w:r>
        <w:rPr>
          <w:rFonts w:ascii="Noto Sans Thai" w:hAnsi="Noto Sans Thai" w:eastAsia="Noto Sans Thai" w:cs="Noto Sans Thai"/>
          <w:b/>
          <w:i w:val="0"/>
          <w:sz w:val="21"/>
        </w:rPr>
        <w:t xml:space="preserve">Civil and Commercial Code, Section 1656: </w:t>
      </w:r>
      <w:r>
        <w:rPr>
          <w:rFonts w:ascii="Noto Sans Thai" w:hAnsi="Noto Sans Thai" w:eastAsia="Noto Sans Thai" w:cs="Noto Sans Thai"/>
          <w:b w:val="0"/>
          <w:i w:val="0"/>
          <w:sz w:val="21"/>
        </w:rPr>
        <w:t xml:space="preserve">พินัยกรรมแบบธรรมดา: ต้องทำเป็นหนังสือ ลงวันเดือนปี และลงลายมือชื่อต่อหน้าพยานอย่างน้อยสองคนพร้อมกัน; พยานลงชื่อรับรองในขณะนั้น </w:t>
      </w:r>
      <w:hyperlink r:id="rId11">
        <w:r>
          <w:rPr>
            <w:color w:val="0563C1"/>
            <w:u w:val="single"/>
            <w:rFonts w:ascii="Noto Sans Thai" w:hAnsi="Noto Sans Thai" w:eastAsia="Noto Sans Thai"/>
          </w:rPr>
          <w:t>https://www.thailawonline.com/th/thai-civil-code/section-1656/</w:t>
        </w:r>
      </w:hyperlink>
    </w:p>
    <w:p>
      <w:pPr>
        <w:spacing w:after="60"/>
      </w:pPr>
      <w:r>
        <w:rPr>
          <w:rFonts w:ascii="Noto Sans Thai" w:hAnsi="Noto Sans Thai" w:eastAsia="Noto Sans Thai" w:cs="Noto Sans Thai"/>
          <w:b/>
          <w:i w:val="0"/>
          <w:sz w:val="21"/>
        </w:rPr>
        <w:t xml:space="preserve">Civil and Commercial Code, Section 1657: </w:t>
      </w:r>
      <w:r>
        <w:rPr>
          <w:rFonts w:ascii="Noto Sans Thai" w:hAnsi="Noto Sans Thai" w:eastAsia="Noto Sans Thai" w:cs="Noto Sans Thai"/>
          <w:b w:val="0"/>
          <w:i w:val="0"/>
          <w:sz w:val="21"/>
        </w:rPr>
        <w:t xml:space="preserve">พินัยกรรมเขียนเองทั้งฉบับ: ผู้ทำเขียนข้อความทั้งหมด วัน เดือน ปี และลายมือชื่อด้วยมือตนเอง </w:t>
      </w:r>
      <w:hyperlink r:id="rId12">
        <w:r>
          <w:rPr>
            <w:color w:val="0563C1"/>
            <w:u w:val="single"/>
            <w:rFonts w:ascii="Noto Sans Thai" w:hAnsi="Noto Sans Thai" w:eastAsia="Noto Sans Thai"/>
          </w:rPr>
          <w:t>https://deka.in.th/laws/ccc/1657</w:t>
        </w:r>
      </w:hyperlink>
    </w:p>
    <w:p>
      <w:pPr>
        <w:spacing w:after="60"/>
      </w:pPr>
      <w:r>
        <w:rPr>
          <w:rFonts w:ascii="Noto Sans Thai" w:hAnsi="Noto Sans Thai" w:eastAsia="Noto Sans Thai" w:cs="Noto Sans Thai"/>
          <w:b/>
          <w:i w:val="0"/>
          <w:sz w:val="21"/>
        </w:rPr>
        <w:t xml:space="preserve">National Health Commission Office - Section 12: </w:t>
      </w:r>
      <w:r>
        <w:rPr>
          <w:rFonts w:ascii="Noto Sans Thai" w:hAnsi="Noto Sans Thai" w:eastAsia="Noto Sans Thai" w:cs="Noto Sans Thai"/>
          <w:b w:val="0"/>
          <w:i w:val="0"/>
          <w:sz w:val="21"/>
        </w:rPr>
        <w:t xml:space="preserve">Living Will / หนังสือแสดงเจตนาไม่ประสงค์รับบริการที่เป็นไปเพียงเพื่อยืดการตายในวาระสุดท้าย </w:t>
      </w:r>
      <w:hyperlink r:id="rId13">
        <w:r>
          <w:rPr>
            <w:color w:val="0563C1"/>
            <w:u w:val="single"/>
            <w:rFonts w:ascii="Noto Sans Thai" w:hAnsi="Noto Sans Thai" w:eastAsia="Noto Sans Thai"/>
          </w:rPr>
          <w:t>https://www.nationalhealth.or.th/public/page/statute12</w:t>
        </w:r>
      </w:hyperlink>
    </w:p>
    <w:p>
      <w:pPr>
        <w:spacing w:after="60" w:line="283" w:lineRule="auto"/>
      </w:pPr>
      <w:r>
        <w:rPr>
          <w:rFonts w:ascii="DejaVu Sans" w:hAnsi="DejaVu Sans" w:eastAsia="DejaVu Sans" w:cs="DejaVu Sans"/>
          <w:b/>
          <w:i w:val="0"/>
          <w:sz w:val="21"/>
        </w:rPr>
        <w:t xml:space="preserve">National Health Commission Office - e-Living Will: </w:t>
      </w:r>
      <w:r>
        <w:rPr>
          <w:rFonts w:ascii="DejaVu Sans" w:hAnsi="DejaVu Sans" w:eastAsia="DejaVu Sans" w:cs="DejaVu Sans"/>
          <w:b w:val="0"/>
          <w:i w:val="0"/>
          <w:sz w:val="21"/>
        </w:rPr>
        <w:t xml:space="preserve">Official e-Living Will information </w:t>
      </w:r>
      <w:hyperlink r:id="rId14">
        <w:r>
          <w:rPr>
            <w:color w:val="0563C1"/>
            <w:u w:val="single"/>
            <w:rFonts w:ascii="Noto Sans Thai" w:hAnsi="Noto Sans Thai" w:eastAsia="Noto Sans Thai"/>
          </w:rPr>
          <w:t>https://www.nationalhealth.or.th/elivingwill</w:t>
        </w:r>
      </w:hyperlink>
    </w:p>
    <w:p>
      <w:pPr>
        <w:spacing w:after="60"/>
      </w:pPr>
      <w:r>
        <w:rPr>
          <w:rFonts w:ascii="Noto Sans Thai" w:hAnsi="Noto Sans Thai" w:eastAsia="Noto Sans Thai" w:cs="Noto Sans Thai"/>
          <w:b/>
          <w:i w:val="0"/>
          <w:sz w:val="21"/>
        </w:rPr>
        <w:t xml:space="preserve">OIC Center of InsurTech - OIC Connect: </w:t>
      </w:r>
      <w:r>
        <w:rPr>
          <w:rFonts w:ascii="Noto Sans Thai" w:hAnsi="Noto Sans Thai" w:eastAsia="Noto Sans Thai" w:cs="Noto Sans Thai"/>
          <w:b w:val="0"/>
          <w:i w:val="0"/>
          <w:sz w:val="21"/>
        </w:rPr>
        <w:t xml:space="preserve">My Legacy (สืบค้นกรมธรรม์โดยทายาท), My Policy, My Coverage และบริการยืนยันตัวตนผ่าน ThaiD </w:t>
      </w:r>
      <w:hyperlink r:id="rId15">
        <w:r>
          <w:rPr>
            <w:color w:val="0563C1"/>
            <w:u w:val="single"/>
            <w:rFonts w:ascii="Noto Sans Thai" w:hAnsi="Noto Sans Thai" w:eastAsia="Noto Sans Thai"/>
          </w:rPr>
          <w:t>https://cit.oic.or.th/en/oicconnect</w:t>
        </w:r>
      </w:hyperlink>
    </w:p>
    <w:p>
      <w:pPr>
        <w:spacing w:after="60"/>
      </w:pPr>
      <w:r>
        <w:rPr>
          <w:rFonts w:ascii="Noto Sans Thai" w:hAnsi="Noto Sans Thai" w:eastAsia="Noto Sans Thai" w:cs="Noto Sans Thai"/>
          <w:b/>
          <w:i w:val="0"/>
          <w:sz w:val="21"/>
        </w:rPr>
        <w:t xml:space="preserve">Ministry of Labour: </w:t>
      </w:r>
      <w:r>
        <w:rPr>
          <w:rFonts w:ascii="Noto Sans Thai" w:hAnsi="Noto Sans Thai" w:eastAsia="Noto Sans Thai" w:cs="Noto Sans Thai"/>
          <w:b w:val="0"/>
          <w:i w:val="0"/>
          <w:sz w:val="21"/>
        </w:rPr>
        <w:t xml:space="preserve">ตัวอย่างสิทธิกรณีเสียชีวิตของผู้ประกันตน ม.33/39 และค่าทำศพ 50,000 บาทตามเงื่อนไขที่เกี่ยวข้อง </w:t>
      </w:r>
      <w:hyperlink r:id="rId16">
        <w:r>
          <w:rPr>
            <w:color w:val="0563C1"/>
            <w:u w:val="single"/>
            <w:rFonts w:ascii="Noto Sans Thai" w:hAnsi="Noto Sans Thai" w:eastAsia="Noto Sans Thai"/>
          </w:rPr>
          <w:t>https://www.mol.go.th/</w:t>
        </w:r>
      </w:hyperlink>
    </w:p>
    <w:p>
      <w:pPr>
        <w:spacing w:after="60"/>
      </w:pPr>
      <w:r>
        <w:rPr>
          <w:rFonts w:ascii="Noto Sans Thai" w:hAnsi="Noto Sans Thai" w:eastAsia="Noto Sans Thai" w:cs="Noto Sans Thai"/>
          <w:b/>
          <w:i w:val="0"/>
          <w:sz w:val="21"/>
        </w:rPr>
        <w:t xml:space="preserve">Personal Data Protection Act B.E. 2562: </w:t>
      </w:r>
      <w:r>
        <w:rPr>
          <w:rFonts w:ascii="Noto Sans Thai" w:hAnsi="Noto Sans Thai" w:eastAsia="Noto Sans Thai" w:cs="Noto Sans Thai"/>
          <w:b w:val="0"/>
          <w:i w:val="0"/>
          <w:sz w:val="21"/>
        </w:rPr>
        <w:t xml:space="preserve">มาตรา 26 และข้อกำหนดเกี่ยวกับ sensitive personal data เช่น สุขภาพและความเชื่อทางศาสนา/ปรัชญา </w:t>
      </w:r>
      <w:r>
        <w:rPr>
          <w:rFonts w:ascii="Noto Sans Thai" w:hAnsi="Noto Sans Thai" w:eastAsia="Noto Sans Thai" w:cs="Noto Sans Thai"/>
          <w:b w:val="0"/>
          <w:i/>
          <w:sz w:val="21"/>
        </w:rPr>
        <w:t>Official Thai statute / PDPC materials; verify current notices before production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83" w:lineRule="auto"/>
            </w:pPr>
            <w:r>
              <w:rPr>
                <w:rFonts w:ascii="DejaVu Sans" w:hAnsi="DejaVu Sans" w:eastAsia="DejaVu Sans" w:cs="DejaVu Sans"/>
                <w:b/>
                <w:i w:val="0"/>
                <w:sz w:val="21"/>
              </w:rPr>
              <w:t xml:space="preserve">Source Control: </w:t>
            </w:r>
            <w:r>
              <w:rPr>
                <w:rFonts w:ascii="DejaVu Sans" w:hAnsi="DejaVu Sans" w:eastAsia="DejaVu Sans" w:cs="DejaVu Sans"/>
                <w:b w:val="0"/>
                <w:i w:val="0"/>
                <w:sz w:val="21"/>
              </w:rPr>
              <w:t>Regulatory content can change. Production copy, benefit amounts, partner licensing rules and legal templates must carry source/effective date and be reviewed at release time.</w:t>
            </w:r>
          </w:p>
        </w:tc>
      </w:tr>
    </w:tbl>
    <w:p>
      <w:pPr>
        <w:pStyle w:val="Heading1"/>
      </w:pPr>
      <w:r>
        <w:t>Appendix A - v1.0 to v1.1.1 Requirement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03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83" w:lineRule="auto" w:after="0"/>
              <w:jc w:val="left"/>
            </w:pPr>
            <w:r>
              <w:rPr>
                <w:rFonts w:ascii="DejaVu Sans" w:hAnsi="DejaVu Sans" w:eastAsia="DejaVu Sans" w:cs="DejaVu Sans"/>
                <w:b/>
                <w:sz w:val="16"/>
              </w:rPr>
              <w:t>v1.0 Item</w:t>
            </w:r>
          </w:p>
        </w:tc>
        <w:tc>
          <w:tcPr>
            <w:tcW w:type="dxa" w:w="691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line="283" w:lineRule="auto" w:after="0"/>
              <w:jc w:val="left"/>
            </w:pPr>
            <w:r>
              <w:rPr>
                <w:rFonts w:ascii="DejaVu Sans" w:hAnsi="DejaVu Sans" w:eastAsia="DejaVu Sans" w:cs="DejaVu Sans"/>
                <w:b/>
                <w:sz w:val="16"/>
              </w:rPr>
              <w:t>v1.1.1 Disposition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FR-1.1 Pro/Lifetime includes ongoing multi-channel switch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Split into Lifetime Vault Pass + optional Continuity Service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FR-1.3 1657 generator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Renamed/limited to Handwritten Will Guide with strong non-final-document warning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FR-2.3 Anonymous Quote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Renamed Privacy-Limited Quote; versioned consent + lead isolation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FR-3.1 Agent can hold backup share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Removed as default; owner must explicitly select; independent backup recommended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FR-3.2 beneficiary in one place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Converted to Beneficiary Planning &amp; Status Hub with provider-confirmation states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FR-4.1 inactivity chain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Converted to escalation state machine; cannot unlock Tier 2 alone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FR-4.2 Tier 1/Tier 2 under one MVK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Replaced with independent K_TIER1 and K_TIER2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FR-4.2 Time-Lock 48h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Renamed release delay unless cryptographic timelock implemented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encrypted_vaults.encryption_iv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Replaced by per-object nonce in encrypted_vault_objects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vault_verifiers.has_approved_unlock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Removed; replaced by unlock_approvals per request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server_key_share + QR raw share model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Revised to encrypted/revocable recovery package and explicit share lifecycle</w:t>
            </w:r>
          </w:p>
        </w:tc>
      </w:tr>
      <w:tr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Post-funeral insurance discovery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83" w:lineRule="auto"/>
              <w:jc w:val="left"/>
            </w:pPr>
            <w:r>
              <w:rPr>
                <w:rFonts w:ascii="DejaVu Sans" w:hAnsi="DejaVu Sans" w:eastAsia="DejaVu Sans" w:cs="DejaVu Sans"/>
                <w:sz w:val="16"/>
              </w:rPr>
              <w:t>Added OIC My Legacy guided handoff</w:t>
            </w:r>
          </w:p>
        </w:tc>
      </w:tr>
    </w:tbl>
    <w:p>
      <w:pPr>
        <w:spacing w:after="0"/>
      </w:pPr>
    </w:p>
    <w:p>
      <w:pPr>
        <w:pStyle w:val="Heading1"/>
      </w:pPr>
      <w:r>
        <w:t>Appendix B - Security Invariants (Normative)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MUST NOT: server or partner possess sufficient default material to decrypt a live vault without owner/recovery policy.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MUST NOT: Tier 1 unlock expose any key/share capable of Tier 2 decryption.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MUST NOT: reuse AEAD nonce with the same key.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MUST NOT: store raw Shamir share as a permanently valid bearer token in QR/NFC.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MUST NOT: reuse verifier approval across unlock requests.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MUST NOT: allow inactivity alone to complete Tier 2 unlock.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MUST NOT: load third-party tracking code in decrypted vault origin.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MUST: support verifier/card/share rotation and revocation.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MUST: bind ciphertext to object identity/tier/schema with authenticated metadata.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MUST: capture consent evidence separately for marketing/lead purposes.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MUST: maintain append-only security events without sensitive plaintext.</w:t>
      </w:r>
    </w:p>
    <w:p>
      <w:pPr>
        <w:pStyle w:val="ListBullet"/>
        <w:spacing w:after="40" w:line="283" w:lineRule="auto"/>
      </w:pPr>
      <w:r>
        <w:rPr>
          <w:rFonts w:ascii="DejaVu Sans" w:hAnsi="DejaVu Sans" w:eastAsia="DejaVu Sans" w:cs="DejaVu Sans"/>
          <w:b w:val="0"/>
          <w:i w:val="0"/>
          <w:sz w:val="21"/>
        </w:rPr>
        <w:t>MUST: present legal/benefit information as versioned guidance with source/effective date.</w:t>
      </w:r>
    </w:p>
    <w:p/>
    <w:p>
      <w:pPr>
        <w:pStyle w:val="Heading1"/>
      </w:pPr>
      <w:r>
        <w:t>Appendix C - v1.1 to v1.1.1 Additions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v1.1 Gap</w:t>
            </w:r>
          </w:p>
        </w:tc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v1.1.1 Addition</w:t>
            </w:r>
          </w:p>
        </w:tc>
      </w:tr>
      <w:tr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Owner session recovery remained ADR-only</w:t>
            </w:r>
          </w:p>
        </w:tc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FR-1.6 owner/device recovery + trusted-device journey + AC-13/14</w:t>
            </w:r>
          </w:p>
        </w:tc>
      </w:tr>
      <w:tr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No explicit disputed unlock state</w:t>
            </w:r>
          </w:p>
        </w:tc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FR-4.6 + DISPUTED/SECURITY_FREEZE state/invariants + AC-15</w:t>
            </w:r>
          </w:p>
        </w:tc>
      </w:tr>
      <w:tr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Authentication not separated from identity proofing</w:t>
            </w:r>
          </w:p>
        </w:tc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FR-1.7 + identity-assurance architecture/NFR + ADR-011</w:t>
            </w:r>
          </w:p>
        </w:tc>
      </w:tr>
      <w:tr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No service-sunset / portable independent recovery contract</w:t>
            </w:r>
          </w:p>
        </w:tc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FR-5.3 + portable recovery architecture/NFR + ADR-012</w:t>
            </w:r>
          </w:p>
        </w:tc>
      </w:tr>
      <w:tr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No security-sensitive multi-device revision semantics</w:t>
            </w:r>
          </w:p>
        </w:tc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FR-5.5 + rollback architecture/NFR + ADR-013</w:t>
            </w:r>
          </w:p>
        </w:tc>
      </w:tr>
      <w:tr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Incapacity, vault closure and document provenance not explicit</w:t>
            </w:r>
          </w:p>
        </w:tc>
        <w:tc>
          <w:tcPr>
            <w:tcW w:type="dxa" w:w="5083"/>
          </w:tcPr>
          <w:p>
            <w:pPr>
              <w:spacing w:line="283" w:lineRule="auto" w:after="0"/>
            </w:pPr>
            <w:r>
              <w:rPr>
                <w:rFonts w:ascii="DejaVu Sans" w:hAnsi="DejaVu Sans" w:eastAsia="DejaVu Sans" w:cs="DejaVu Sans"/>
              </w:rPr>
              <w:t>FR-4.7 / FR-5.4 / FR-5.6 as phased requirements</w:t>
            </w:r>
          </w:p>
        </w:tc>
      </w:tr>
    </w:tbl>
    <w:p>
      <w:pPr>
        <w:spacing w:line="283" w:lineRule="auto"/>
        <w:jc w:val="center"/>
      </w:pPr>
      <w:r>
        <w:rPr>
          <w:rFonts w:ascii="DejaVu Sans" w:hAnsi="DejaVu Sans" w:eastAsia="DejaVu Sans" w:cs="DejaVu Sans"/>
          <w:b/>
          <w:color w:val="646464"/>
          <w:sz w:val="18"/>
        </w:rPr>
        <w:t>END OF PRD v1.1.1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 w:eastAsia="Noto Sans Thai" w:cs="Noto Sans Thai"/>
        <w:color w:val="646464"/>
        <w:sz w:val="15"/>
      </w:rPr>
      <w:t>Confidential - Draft for Architecture / Security / Legal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Thai" w:hAnsi="Noto Sans Thai" w:eastAsia="Noto Sans Thai" w:cs="Noto Sans Thai"/>
        <w:color w:val="5A5A5A"/>
        <w:sz w:val="16"/>
      </w:rPr>
      <w:t>Digital Legacy &amp; Coverage Gap Vault | PRD v1.1.1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  <w:jc w:val="left"/>
    </w:pPr>
    <w:rPr>
      <w:rFonts w:ascii="Noto Sans Thai" w:hAnsi="Noto Sans Thai" w:eastAsia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jc w:val="left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6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jc w:val="left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20567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jc w:val="left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  <w:jc w:val="left"/>
    </w:pPr>
    <w:rPr>
      <w:rFonts w:asciiTheme="majorHAnsi" w:eastAsiaTheme="majorEastAsia" w:hAnsiTheme="majorHAnsi" w:cstheme="majorBidi" w:ascii="Noto Sans Thai" w:hAnsi="Noto Sans Thai" w:eastAsia="Noto Sans Thai"/>
      <w:b/>
      <w:color w:val="163A5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jc w:val="left"/>
    </w:pPr>
    <w:rPr>
      <w:rFonts w:ascii="Noto Sans Thai" w:hAnsi="Noto Sans Thai" w:eastAsia="Noto Sans Tha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jc w:val="left"/>
    </w:pPr>
    <w:rPr>
      <w:rFonts w:ascii="Noto Sans Thai" w:hAnsi="Noto Sans Thai" w:eastAsia="Noto Sans Tha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jc w:val="left"/>
    </w:pPr>
    <w:rPr>
      <w:rFonts w:ascii="Noto Sans Thai" w:hAnsi="Noto Sans Thai" w:eastAsia="Noto Sans Tha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jc w:val="left"/>
    </w:pPr>
    <w:rPr>
      <w:rFonts w:ascii="Noto Sans Thai" w:hAnsi="Noto Sans Thai" w:eastAsia="Noto Sans Thai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thailawonline.com/th/thai-civil-code/section-1656/" TargetMode="External"/><Relationship Id="rId12" Type="http://schemas.openxmlformats.org/officeDocument/2006/relationships/hyperlink" Target="https://deka.in.th/laws/ccc/1657" TargetMode="External"/><Relationship Id="rId13" Type="http://schemas.openxmlformats.org/officeDocument/2006/relationships/hyperlink" Target="https://www.nationalhealth.or.th/public/page/statute12" TargetMode="External"/><Relationship Id="rId14" Type="http://schemas.openxmlformats.org/officeDocument/2006/relationships/hyperlink" Target="https://www.nationalhealth.or.th/elivingwill" TargetMode="External"/><Relationship Id="rId15" Type="http://schemas.openxmlformats.org/officeDocument/2006/relationships/hyperlink" Target="https://cit.oic.or.th/en/oicconnect" TargetMode="External"/><Relationship Id="rId16" Type="http://schemas.openxmlformats.org/officeDocument/2006/relationships/hyperlink" Target="https://www.mol.go.t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