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hd w:fill="EAFBF1" w:color="auto" w:val="clear"/>
        <w:spacing w:after="360"/>
      </w:pPr>
      <w:r>
        <w:rPr>
          <w:rFonts w:ascii="Aptos" w:cs="Aptos" w:eastAsia="Aptos" w:hAnsi="Aptos"/>
          <w:b/>
          <w:bCs/>
          <w:i w:val="false"/>
          <w:iCs w:val="false"/>
          <w:color w:val="075E35"/>
          <w:sz w:val="18"/>
          <w:szCs w:val="18"/>
        </w:rPr>
        <w:t xml:space="preserve">  GRANT APPLICATION • EDITABLE  </w:t>
      </w:r>
    </w:p>
    <w:p>
      <w:pPr>
        <w:spacing w:after="160"/>
      </w:pPr>
      <w:r>
        <w:rPr>
          <w:rFonts w:ascii="Aptos" w:cs="Aptos" w:eastAsia="Aptos" w:hAnsi="Aptos"/>
          <w:b/>
          <w:bCs/>
          <w:i w:val="false"/>
          <w:iCs w:val="false"/>
          <w:color w:val="075E35"/>
          <w:sz w:val="52"/>
          <w:szCs w:val="52"/>
        </w:rPr>
        <w:t xml:space="preserve">Naija</w:t>
      </w:r>
      <w:r>
        <w:rPr>
          <w:rFonts w:ascii="Aptos" w:cs="Aptos" w:eastAsia="Aptos" w:hAnsi="Aptos"/>
          <w:b/>
          <w:bCs/>
          <w:i w:val="false"/>
          <w:iCs w:val="false"/>
          <w:color w:val="19E66B"/>
          <w:sz w:val="52"/>
          <w:szCs w:val="52"/>
        </w:rPr>
        <w:t xml:space="preserve">Jobber</w:t>
      </w:r>
      <w:r>
        <w:rPr>
          <w:rFonts w:ascii="Aptos" w:cs="Aptos" w:eastAsia="Aptos" w:hAnsi="Aptos"/>
          <w:b w:val="false"/>
          <w:bCs w:val="false"/>
          <w:i w:val="false"/>
          <w:iCs w:val="false"/>
          <w:color w:val="0B0F0D"/>
          <w:sz w:val="34"/>
          <w:szCs w:val="34"/>
        </w:rPr>
        <w:t xml:space="preserve">  🦇</w:t>
      </w:r>
    </w:p>
    <w:p>
      <w:pPr>
        <w:pStyle w:val="Title"/>
        <w:spacing w:before="260" w:after="180"/>
      </w:pPr>
      <w:r>
        <w:rPr>
          <w:rFonts w:ascii="Aptos" w:cs="Aptos" w:eastAsia="Aptos" w:hAnsi="Aptos"/>
          <w:b/>
          <w:bCs/>
          <w:i w:val="false"/>
          <w:iCs w:val="false"/>
          <w:color w:val="075E35"/>
          <w:sz w:val="48"/>
          <w:szCs w:val="48"/>
        </w:rPr>
        <w:t xml:space="preserve">Grant Budget Narrative</w:t>
      </w:r>
    </w:p>
    <w:p>
      <w:pPr>
        <w:spacing w:after="240" w:line="340"/>
      </w:pPr>
      <w:r>
        <w:rPr>
          <w:rFonts w:ascii="Aptos" w:cs="Aptos" w:eastAsia="Aptos" w:hAnsi="Aptos"/>
          <w:b w:val="false"/>
          <w:bCs w:val="false"/>
          <w:i w:val="false"/>
          <w:iCs w:val="false"/>
          <w:color w:val="5F6B65"/>
          <w:sz w:val="22"/>
          <w:szCs w:val="22"/>
        </w:rPr>
        <w:t xml:space="preserve">A 12-month, $250,000 workforce-access program connecting African youth with verified local, remote, and Web3 opportunities.</w:t>
      </w:r>
    </w:p>
    <w:p>
      <w:pPr>
        <w:spacing w:after="120" w:line="300"/>
      </w:pPr>
      <w:r>
        <w:rPr>
          <w:rFonts w:ascii="Aptos" w:cs="Aptos" w:eastAsia="Aptos" w:hAnsi="Aptos"/>
          <w:b/>
          <w:bCs/>
          <w:i w:val="false"/>
          <w:iCs w:val="false"/>
          <w:color w:val="075E35"/>
          <w:sz w:val="22"/>
          <w:szCs w:val="22"/>
        </w:rPr>
        <w:t xml:space="preserve">Africa’s #1 JobTech Platform — From Hustle to Hire</w:t>
      </w:r>
    </w:p>
    <w:p>
      <w:pPr>
        <w:spacing w:after="800" w:line="300"/>
      </w:pPr>
      <w:r>
        <w:rPr>
          <w:rFonts w:ascii="Aptos" w:cs="Aptos" w:eastAsia="Aptos" w:hAnsi="Aptos"/>
          <w:b w:val="false"/>
          <w:bCs w:val="false"/>
          <w:i/>
          <w:iCs/>
          <w:color w:val="5F6B65"/>
          <w:sz w:val="22"/>
          <w:szCs w:val="22"/>
        </w:rPr>
        <w:t xml:space="preserve">The hustle is African. The opportunity is NaijaJobber.</w:t>
      </w:r>
    </w:p>
    <w:p>
      <w:pPr>
        <w:spacing w:after="140" w:line="300"/>
      </w:pPr>
      <w:r>
        <w:rPr>
          <w:rFonts w:ascii="Aptos" w:cs="Aptos" w:eastAsia="Aptos" w:hAnsi="Aptos"/>
          <w:b w:val="false"/>
          <w:bCs w:val="false"/>
          <w:i w:val="false"/>
          <w:iCs w:val="false"/>
          <w:color w:val="5F6B65"/>
          <w:sz w:val="22"/>
          <w:szCs w:val="22"/>
        </w:rPr>
        <w:t xml:space="preserve">Prepared July 2026 • Version 2.0</w:t>
      </w:r>
    </w:p>
    <w:p>
      <w:pPr>
        <w:spacing w:after="140" w:line="300"/>
      </w:pPr>
      <w:r>
        <w:rPr>
          <w:rFonts w:ascii="Aptos" w:cs="Aptos" w:eastAsia="Aptos" w:hAnsi="Aptos"/>
          <w:b w:val="false"/>
          <w:bCs w:val="false"/>
          <w:i w:val="false"/>
          <w:iCs w:val="false"/>
          <w:color w:val="5F6B65"/>
          <w:sz w:val="22"/>
          <w:szCs w:val="22"/>
        </w:rPr>
        <w:t xml:space="preserve">Editable Microsoft Word document</w:t>
      </w:r>
    </w:p>
    <w:p>
      <w:r>
        <w:br w:type="page"/>
      </w:r>
    </w:p>
    <w:p>
      <w:pPr>
        <w:pStyle w:val="Heading1"/>
        <w:keepNext/>
        <w:spacing w:before="300" w:after="140"/>
      </w:pPr>
      <w:r>
        <w:rPr>
          <w:rFonts w:ascii="Aptos" w:cs="Aptos" w:eastAsia="Aptos" w:hAnsi="Aptos"/>
          <w:b/>
          <w:bCs/>
          <w:i w:val="false"/>
          <w:iCs w:val="false"/>
          <w:color w:val="075E35"/>
          <w:sz w:val="32"/>
          <w:szCs w:val="32"/>
        </w:rPr>
        <w:t xml:space="preserve">1. Project Overview</w:t>
      </w:r>
    </w:p>
    <w:p>
      <w:pPr>
        <w:spacing w:after="140" w:line="300"/>
      </w:pPr>
      <w:r>
        <w:rPr>
          <w:rFonts w:ascii="Aptos" w:cs="Aptos" w:eastAsia="Aptos" w:hAnsi="Aptos"/>
          <w:b w:val="false"/>
          <w:bCs w:val="false"/>
          <w:i w:val="false"/>
          <w:iCs w:val="false"/>
          <w:color w:val="0B0F0D"/>
          <w:sz w:val="22"/>
          <w:szCs w:val="22"/>
        </w:rPr>
        <w:t xml:space="preserve">NaijaJobber is a pre-revenue, community-validated JobTech startup requesting $250,000 in non-dilutive support to convert a grassroots opportunity community into trusted JobTech infrastructure. The company has not generated operating revenue. The project will improve access to verified employment, digital gigs, Web3 contributor roles, career information, learning, and employer discovery—beginning in Nigeria.</w:t>
      </w:r>
    </w:p>
    <w:p>
      <w:pPr>
        <w:spacing w:after="140" w:line="300"/>
      </w:pPr>
      <w:r>
        <w:rPr>
          <w:rFonts w:ascii="Aptos" w:cs="Aptos" w:eastAsia="Aptos" w:hAnsi="Aptos"/>
          <w:b w:val="false"/>
          <w:bCs w:val="false"/>
          <w:i w:val="false"/>
          <w:iCs w:val="false"/>
          <w:color w:val="0B0F0D"/>
          <w:sz w:val="22"/>
          <w:szCs w:val="22"/>
        </w:rPr>
        <w:t xml:space="preserve">The grant addresses an access and trust problem: talented young Africans are job-ready but opportunity-deprived, while employers and projects struggle to identify credible contributors quickly. NaijaJobber will bridge this gap with recruiter verification, structured profiles, matching, Jobber XP, learning, referrals, events, and impact reporting.</w:t>
      </w:r>
    </w:p>
    <w:p>
      <w:pPr>
        <w:pStyle w:val="Heading1"/>
        <w:keepNext/>
        <w:spacing w:before="300" w:after="140"/>
      </w:pPr>
      <w:r>
        <w:rPr>
          <w:rFonts w:ascii="Aptos" w:cs="Aptos" w:eastAsia="Aptos" w:hAnsi="Aptos"/>
          <w:b/>
          <w:bCs/>
          <w:i w:val="false"/>
          <w:iCs w:val="false"/>
          <w:color w:val="075E35"/>
          <w:sz w:val="32"/>
          <w:szCs w:val="32"/>
        </w:rPr>
        <w:t xml:space="preserve">2. Evidence of Need and Starting Position</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Management cites more than 100 million African youth and significant youth unemployment; all market statistics will be independently sourced in the final funder submission.</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As of October 2025, the community reported 750+ Telegram subscribers, 700+ WhatsApp members, 400+ X followers, daily engagement, and dozens of success stories.</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Existing programming already distributes Web3, remote, and local gigs alongside educational and technology information.</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Informal opportunity channels lack consistent verification, outcome measurement, and safe pathways for physical work.</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Historical operating revenue is $0. Sponsored listings, subscriptions, placement services, campaigns, transaction fees, and advertising are proposed—not currently active income streams.</w:t>
      </w:r>
    </w:p>
    <w:p>
      <w:pPr>
        <w:pStyle w:val="Heading1"/>
        <w:keepNext/>
        <w:spacing w:before="300" w:after="140"/>
      </w:pPr>
      <w:r>
        <w:rPr>
          <w:rFonts w:ascii="Aptos" w:cs="Aptos" w:eastAsia="Aptos" w:hAnsi="Aptos"/>
          <w:b/>
          <w:bCs/>
          <w:i w:val="false"/>
          <w:iCs w:val="false"/>
          <w:color w:val="075E35"/>
          <w:sz w:val="32"/>
          <w:szCs w:val="32"/>
        </w:rPr>
        <w:t xml:space="preserve">3. 12-Month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Objective</w:t>
            </w:r>
          </w:p>
        </w:tc>
        <w:tc>
          <w:tcPr>
            <w:tcW w:type="pct" w:w="60%"/>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12-month target</w:t>
            </w:r>
          </w:p>
        </w:tc>
      </w:tr>
      <w:tr>
        <w:tc>
          <w:tcPr>
            <w:tcW w:type="pct" w:w="4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Community-to-platform migration</w:t>
            </w:r>
          </w:p>
        </w:tc>
        <w:tc>
          <w:tcPr>
            <w:tcW w:type="pct" w:w="6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10,000 registered users; adoption measured by active use, not signups alone</w:t>
            </w:r>
          </w:p>
        </w:tc>
      </w:tr>
      <w:tr>
        <w:tc>
          <w:tcPr>
            <w:tcW w:type="pct" w:w="4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Trust</w:t>
            </w:r>
          </w:p>
        </w:tc>
        <w:tc>
          <w:tcPr>
            <w:tcW w:type="pct" w:w="6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Verified recruiter workflow, badge definitions, moderation, reporting, and appeal procedures live</w:t>
            </w:r>
          </w:p>
        </w:tc>
      </w:tr>
      <w:tr>
        <w:tc>
          <w:tcPr>
            <w:tcW w:type="pct" w:w="4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Opportunity supply</w:t>
            </w:r>
          </w:p>
        </w:tc>
        <w:tc>
          <w:tcPr>
            <w:tcW w:type="pct" w:w="6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At least 500 verified or reviewed listings across local, remote, and Web3 categories</w:t>
            </w:r>
          </w:p>
        </w:tc>
      </w:tr>
      <w:tr>
        <w:tc>
          <w:tcPr>
            <w:tcW w:type="pct" w:w="4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Employer demand</w:t>
            </w:r>
          </w:p>
        </w:tc>
        <w:tc>
          <w:tcPr>
            <w:tcW w:type="pct" w:w="6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At least 100 employer/project accounts and 25 repeat paying organizations</w:t>
            </w:r>
          </w:p>
        </w:tc>
      </w:tr>
      <w:tr>
        <w:tc>
          <w:tcPr>
            <w:tcW w:type="pct" w:w="4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Employment outcomes</w:t>
            </w:r>
          </w:p>
        </w:tc>
        <w:tc>
          <w:tcPr>
            <w:tcW w:type="pct" w:w="6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At least 100 verified hires or paid gig completions</w:t>
            </w:r>
          </w:p>
        </w:tc>
      </w:tr>
      <w:tr>
        <w:tc>
          <w:tcPr>
            <w:tcW w:type="pct" w:w="4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Learning and readiness</w:t>
            </w:r>
          </w:p>
        </w:tc>
        <w:tc>
          <w:tcPr>
            <w:tcW w:type="pct" w:w="6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1,000 course/resource completions and 500 proof-of-work profile items</w:t>
            </w:r>
          </w:p>
        </w:tc>
      </w:tr>
      <w:tr>
        <w:tc>
          <w:tcPr>
            <w:tcW w:type="pct" w:w="4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Partnerships</w:t>
            </w:r>
          </w:p>
        </w:tc>
        <w:tc>
          <w:tcPr>
            <w:tcW w:type="pct" w:w="6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At least five B2B, ecosystem, NGO, campus, or government pilots</w:t>
            </w:r>
          </w:p>
        </w:tc>
      </w:tr>
    </w:tbl>
    <w:p>
      <w:pPr>
        <w:pStyle w:val="Heading1"/>
        <w:keepNext/>
        <w:spacing w:before="300" w:after="140"/>
      </w:pPr>
      <w:r>
        <w:rPr>
          <w:rFonts w:ascii="Aptos" w:cs="Aptos" w:eastAsia="Aptos" w:hAnsi="Aptos"/>
          <w:b/>
          <w:bCs/>
          <w:i w:val="false"/>
          <w:iCs w:val="false"/>
          <w:color w:val="075E35"/>
          <w:sz w:val="32"/>
          <w:szCs w:val="32"/>
        </w:rPr>
        <w:t xml:space="preserve">4. Budget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5%"/>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Category</w:t>
            </w:r>
          </w:p>
        </w:tc>
        <w:tc>
          <w:tcPr>
            <w:tcW w:type="pct" w:w="25%"/>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Amount</w:t>
            </w:r>
          </w:p>
        </w:tc>
        <w:tc>
          <w:tcPr>
            <w:tcW w:type="pct" w:w="20%"/>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w:t>
            </w:r>
          </w:p>
        </w:tc>
      </w:tr>
      <w:tr>
        <w:tc>
          <w:tcPr>
            <w:tcW w:type="pct" w:w="5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Product and engineering</w:t>
            </w:r>
          </w:p>
        </w:tc>
        <w:tc>
          <w:tcPr>
            <w:tcW w:type="pct" w:w="2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$100,000</w:t>
            </w:r>
          </w:p>
        </w:tc>
        <w:tc>
          <w:tcPr>
            <w:tcW w:type="pct" w:w="2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40%</w:t>
            </w:r>
          </w:p>
        </w:tc>
      </w:tr>
      <w:tr>
        <w:tc>
          <w:tcPr>
            <w:tcW w:type="pct" w:w="5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Go-to-market and community</w:t>
            </w:r>
          </w:p>
        </w:tc>
        <w:tc>
          <w:tcPr>
            <w:tcW w:type="pct" w:w="2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$62,500</w:t>
            </w:r>
          </w:p>
        </w:tc>
        <w:tc>
          <w:tcPr>
            <w:tcW w:type="pct" w:w="2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25%</w:t>
            </w:r>
          </w:p>
        </w:tc>
      </w:tr>
      <w:tr>
        <w:tc>
          <w:tcPr>
            <w:tcW w:type="pct" w:w="5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Operations and customer support</w:t>
            </w:r>
          </w:p>
        </w:tc>
        <w:tc>
          <w:tcPr>
            <w:tcW w:type="pct" w:w="2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$50,000</w:t>
            </w:r>
          </w:p>
        </w:tc>
        <w:tc>
          <w:tcPr>
            <w:tcW w:type="pct" w:w="2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20%</w:t>
            </w:r>
          </w:p>
        </w:tc>
      </w:tr>
      <w:tr>
        <w:tc>
          <w:tcPr>
            <w:tcW w:type="pct" w:w="5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Legal, compliance, and administration</w:t>
            </w:r>
          </w:p>
        </w:tc>
        <w:tc>
          <w:tcPr>
            <w:tcW w:type="pct" w:w="2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$25,000</w:t>
            </w:r>
          </w:p>
        </w:tc>
        <w:tc>
          <w:tcPr>
            <w:tcW w:type="pct" w:w="2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10%</w:t>
            </w:r>
          </w:p>
        </w:tc>
      </w:tr>
      <w:tr>
        <w:tc>
          <w:tcPr>
            <w:tcW w:type="pct" w:w="5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Contingency</w:t>
            </w:r>
          </w:p>
        </w:tc>
        <w:tc>
          <w:tcPr>
            <w:tcW w:type="pct" w:w="2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$12,500</w:t>
            </w:r>
          </w:p>
        </w:tc>
        <w:tc>
          <w:tcPr>
            <w:tcW w:type="pct" w:w="2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5%</w:t>
            </w:r>
          </w:p>
        </w:tc>
      </w:tr>
      <w:tr>
        <w:tc>
          <w:tcPr>
            <w:tcW w:type="pct" w:w="5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Total requested</w:t>
            </w:r>
          </w:p>
        </w:tc>
        <w:tc>
          <w:tcPr>
            <w:tcW w:type="pct" w:w="2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$250,000</w:t>
            </w:r>
          </w:p>
        </w:tc>
        <w:tc>
          <w:tcPr>
            <w:tcW w:type="pct" w:w="2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100%</w:t>
            </w:r>
          </w:p>
        </w:tc>
      </w:tr>
    </w:tbl>
    <w:p>
      <w:pPr>
        <w:pStyle w:val="Heading1"/>
        <w:keepNext/>
        <w:spacing w:before="300" w:after="140"/>
      </w:pPr>
      <w:r>
        <w:rPr>
          <w:rFonts w:ascii="Aptos" w:cs="Aptos" w:eastAsia="Aptos" w:hAnsi="Aptos"/>
          <w:b/>
          <w:bCs/>
          <w:i w:val="false"/>
          <w:iCs w:val="false"/>
          <w:color w:val="075E35"/>
          <w:sz w:val="32"/>
          <w:szCs w:val="32"/>
        </w:rPr>
        <w:t xml:space="preserve">5. Line-Item Justification</w:t>
      </w:r>
    </w:p>
    <w:p>
      <w:pPr>
        <w:pStyle w:val="Heading2"/>
        <w:keepNext/>
        <w:spacing w:before="220" w:after="100"/>
      </w:pPr>
      <w:r>
        <w:rPr>
          <w:rFonts w:ascii="Aptos" w:cs="Aptos" w:eastAsia="Aptos" w:hAnsi="Aptos"/>
          <w:b/>
          <w:bCs/>
          <w:i w:val="false"/>
          <w:iCs w:val="false"/>
          <w:color w:val="0B0F0D"/>
          <w:sz w:val="26"/>
          <w:szCs w:val="26"/>
        </w:rPr>
        <w:t xml:space="preserve">5.1 Product and Engineering — $100,000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Sub-item</w:t>
            </w:r>
          </w:p>
        </w:tc>
        <w:tc>
          <w:tcPr>
            <w:tcW w:type="pct" w:w="18%"/>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Amount</w:t>
            </w:r>
          </w:p>
        </w:tc>
        <w:tc>
          <w:tcPr>
            <w:tcW w:type="pct" w:w="52%"/>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Purpose</w:t>
            </w:r>
          </w:p>
        </w:tc>
      </w:tr>
      <w:tr>
        <w:tc>
          <w:tcPr>
            <w:tcW w:type="pct" w:w="3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Engineering and QA</w:t>
            </w:r>
          </w:p>
        </w:tc>
        <w:tc>
          <w:tcPr>
            <w:tcW w:type="pct" w:w="1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$65,000</w:t>
            </w:r>
          </w:p>
        </w:tc>
        <w:tc>
          <w:tcPr>
            <w:tcW w:type="pct" w:w="5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Complete user, recruiter, matching, moderation, education, XP, referral, event, and reporting workflows.</w:t>
            </w:r>
          </w:p>
        </w:tc>
      </w:tr>
      <w:tr>
        <w:tc>
          <w:tcPr>
            <w:tcW w:type="pct" w:w="3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Infrastructure and security</w:t>
            </w:r>
          </w:p>
        </w:tc>
        <w:tc>
          <w:tcPr>
            <w:tcW w:type="pct" w:w="18%"/>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$20,000</w:t>
            </w:r>
          </w:p>
        </w:tc>
        <w:tc>
          <w:tcPr>
            <w:tcW w:type="pct" w:w="52%"/>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Hosting, database, email/SMS, monitoring, backups, anti-abuse controls, and security testing.</w:t>
            </w:r>
          </w:p>
        </w:tc>
      </w:tr>
      <w:tr>
        <w:tc>
          <w:tcPr>
            <w:tcW w:type="pct" w:w="3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UX, accessibility, and research</w:t>
            </w:r>
          </w:p>
        </w:tc>
        <w:tc>
          <w:tcPr>
            <w:tcW w:type="pct" w:w="1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$15,000</w:t>
            </w:r>
          </w:p>
        </w:tc>
        <w:tc>
          <w:tcPr>
            <w:tcW w:type="pct" w:w="5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Mobile-first design, swipe discovery, usability studies, and inclusive access for varied skill levels.</w:t>
            </w:r>
          </w:p>
        </w:tc>
      </w:tr>
    </w:tbl>
    <w:p>
      <w:pPr>
        <w:pStyle w:val="Heading2"/>
        <w:keepNext/>
        <w:spacing w:before="220" w:after="100"/>
      </w:pPr>
      <w:r>
        <w:rPr>
          <w:rFonts w:ascii="Aptos" w:cs="Aptos" w:eastAsia="Aptos" w:hAnsi="Aptos"/>
          <w:b/>
          <w:bCs/>
          <w:i w:val="false"/>
          <w:iCs w:val="false"/>
          <w:color w:val="0B0F0D"/>
          <w:sz w:val="26"/>
          <w:szCs w:val="26"/>
        </w:rPr>
        <w:t xml:space="preserve">5.2 Go-to-Market and Community — $62,500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Sub-item</w:t>
            </w:r>
          </w:p>
        </w:tc>
        <w:tc>
          <w:tcPr>
            <w:tcW w:type="pct" w:w="18%"/>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Amount</w:t>
            </w:r>
          </w:p>
        </w:tc>
        <w:tc>
          <w:tcPr>
            <w:tcW w:type="pct" w:w="52%"/>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Purpose</w:t>
            </w:r>
          </w:p>
        </w:tc>
      </w:tr>
      <w:tr>
        <w:tc>
          <w:tcPr>
            <w:tcW w:type="pct" w:w="3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Ambassadors and community activation</w:t>
            </w:r>
          </w:p>
        </w:tc>
        <w:tc>
          <w:tcPr>
            <w:tcW w:type="pct" w:w="1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$22,500</w:t>
            </w:r>
          </w:p>
        </w:tc>
        <w:tc>
          <w:tcPr>
            <w:tcW w:type="pct" w:w="5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Campus/city pilots, onboarding, verified success stories, and trusted local distribution.</w:t>
            </w:r>
          </w:p>
        </w:tc>
      </w:tr>
      <w:tr>
        <w:tc>
          <w:tcPr>
            <w:tcW w:type="pct" w:w="3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Employer and project acquisition</w:t>
            </w:r>
          </w:p>
        </w:tc>
        <w:tc>
          <w:tcPr>
            <w:tcW w:type="pct" w:w="18%"/>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$20,000</w:t>
            </w:r>
          </w:p>
        </w:tc>
        <w:tc>
          <w:tcPr>
            <w:tcW w:type="pct" w:w="52%"/>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B2B outreach, pilots, case studies, sponsored-drop sales, and talent-pool demonstrations.</w:t>
            </w:r>
          </w:p>
        </w:tc>
      </w:tr>
      <w:tr>
        <w:tc>
          <w:tcPr>
            <w:tcW w:type="pct" w:w="3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Events, education, and content</w:t>
            </w:r>
          </w:p>
        </w:tc>
        <w:tc>
          <w:tcPr>
            <w:tcW w:type="pct" w:w="1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$12,500</w:t>
            </w:r>
          </w:p>
        </w:tc>
        <w:tc>
          <w:tcPr>
            <w:tcW w:type="pct" w:w="5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Career resources, workshops, event partnerships, and responsible information programming.</w:t>
            </w:r>
          </w:p>
        </w:tc>
      </w:tr>
      <w:tr>
        <w:tc>
          <w:tcPr>
            <w:tcW w:type="pct" w:w="3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Partnership development</w:t>
            </w:r>
          </w:p>
        </w:tc>
        <w:tc>
          <w:tcPr>
            <w:tcW w:type="pct" w:w="18%"/>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$7,500</w:t>
            </w:r>
          </w:p>
        </w:tc>
        <w:tc>
          <w:tcPr>
            <w:tcW w:type="pct" w:w="52%"/>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Ecosystem, NGO, government, and training-program relationship development.</w:t>
            </w:r>
          </w:p>
        </w:tc>
      </w:tr>
    </w:tbl>
    <w:p>
      <w:pPr>
        <w:pStyle w:val="Heading2"/>
        <w:keepNext/>
        <w:spacing w:before="220" w:after="100"/>
      </w:pPr>
      <w:r>
        <w:rPr>
          <w:rFonts w:ascii="Aptos" w:cs="Aptos" w:eastAsia="Aptos" w:hAnsi="Aptos"/>
          <w:b/>
          <w:bCs/>
          <w:i w:val="false"/>
          <w:iCs w:val="false"/>
          <w:color w:val="0B0F0D"/>
          <w:sz w:val="26"/>
          <w:szCs w:val="26"/>
        </w:rPr>
        <w:t xml:space="preserve">5.3 Operations and Customer Support — $50,000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Sub-item</w:t>
            </w:r>
          </w:p>
        </w:tc>
        <w:tc>
          <w:tcPr>
            <w:tcW w:type="pct" w:w="18%"/>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Amount</w:t>
            </w:r>
          </w:p>
        </w:tc>
        <w:tc>
          <w:tcPr>
            <w:tcW w:type="pct" w:w="52%"/>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Purpose</w:t>
            </w:r>
          </w:p>
        </w:tc>
      </w:tr>
      <w:tr>
        <w:tc>
          <w:tcPr>
            <w:tcW w:type="pct" w:w="3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Verification and moderation</w:t>
            </w:r>
          </w:p>
        </w:tc>
        <w:tc>
          <w:tcPr>
            <w:tcW w:type="pct" w:w="1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$22,000</w:t>
            </w:r>
          </w:p>
        </w:tc>
        <w:tc>
          <w:tcPr>
            <w:tcW w:type="pct" w:w="5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Recruiter checks, listing review, fraud handling, and badge governance.</w:t>
            </w:r>
          </w:p>
        </w:tc>
      </w:tr>
      <w:tr>
        <w:tc>
          <w:tcPr>
            <w:tcW w:type="pct" w:w="30%"/>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Support and success</w:t>
            </w:r>
          </w:p>
        </w:tc>
        <w:tc>
          <w:tcPr>
            <w:tcW w:type="pct" w:w="18%"/>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$16,000</w:t>
            </w:r>
          </w:p>
        </w:tc>
        <w:tc>
          <w:tcPr>
            <w:tcW w:type="pct" w:w="52%"/>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User support, employer onboarding, placement confirmation, and appeals.</w:t>
            </w:r>
          </w:p>
        </w:tc>
      </w:tr>
      <w:tr>
        <w:tc>
          <w:tcPr>
            <w:tcW w:type="pct" w:w="30%"/>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Local-gig safety pilot</w:t>
            </w:r>
          </w:p>
        </w:tc>
        <w:tc>
          <w:tcPr>
            <w:tcW w:type="pct" w:w="1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$12,000</w:t>
            </w:r>
          </w:p>
        </w:tc>
        <w:tc>
          <w:tcPr>
            <w:tcW w:type="pct" w:w="5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Risk design, check-in/out, incident response, agent pilot, and safeguarding training.</w:t>
            </w:r>
          </w:p>
        </w:tc>
      </w:tr>
    </w:tbl>
    <w:p>
      <w:pPr>
        <w:pStyle w:val="Heading2"/>
        <w:keepNext/>
        <w:spacing w:before="220" w:after="100"/>
      </w:pPr>
      <w:r>
        <w:rPr>
          <w:rFonts w:ascii="Aptos" w:cs="Aptos" w:eastAsia="Aptos" w:hAnsi="Aptos"/>
          <w:b/>
          <w:bCs/>
          <w:i w:val="false"/>
          <w:iCs w:val="false"/>
          <w:color w:val="0B0F0D"/>
          <w:sz w:val="26"/>
          <w:szCs w:val="26"/>
        </w:rPr>
        <w:t xml:space="preserve">5.4 Legal, Compliance, and Administration — $25,000</w:t>
      </w:r>
    </w:p>
    <w:p>
      <w:pPr>
        <w:spacing w:after="140" w:line="300"/>
      </w:pPr>
      <w:r>
        <w:rPr>
          <w:rFonts w:ascii="Aptos" w:cs="Aptos" w:eastAsia="Aptos" w:hAnsi="Aptos"/>
          <w:b w:val="false"/>
          <w:bCs w:val="false"/>
          <w:i w:val="false"/>
          <w:iCs w:val="false"/>
          <w:color w:val="0B0F0D"/>
          <w:sz w:val="22"/>
          <w:szCs w:val="22"/>
        </w:rPr>
        <w:t xml:space="preserve">Covers privacy and data-protection review, platform terms, recruiter/listing verification disclosures, safeguarding policy, accounting, grant reporting, insurance review, contractor agreements, and legal analysis before payment, USDT, token, location, or financial-content functionality.</w:t>
      </w:r>
    </w:p>
    <w:p>
      <w:pPr>
        <w:pStyle w:val="Heading2"/>
        <w:keepNext/>
        <w:spacing w:before="220" w:after="100"/>
      </w:pPr>
      <w:r>
        <w:rPr>
          <w:rFonts w:ascii="Aptos" w:cs="Aptos" w:eastAsia="Aptos" w:hAnsi="Aptos"/>
          <w:b/>
          <w:bCs/>
          <w:i w:val="false"/>
          <w:iCs w:val="false"/>
          <w:color w:val="0B0F0D"/>
          <w:sz w:val="26"/>
          <w:szCs w:val="26"/>
        </w:rPr>
        <w:t xml:space="preserve">5.5 Contingency — $12,500</w:t>
      </w:r>
    </w:p>
    <w:p>
      <w:pPr>
        <w:spacing w:after="140" w:line="300"/>
      </w:pPr>
      <w:r>
        <w:rPr>
          <w:rFonts w:ascii="Aptos" w:cs="Aptos" w:eastAsia="Aptos" w:hAnsi="Aptos"/>
          <w:b w:val="false"/>
          <w:bCs w:val="false"/>
          <w:i w:val="false"/>
          <w:iCs w:val="false"/>
          <w:color w:val="0B0F0D"/>
          <w:sz w:val="22"/>
          <w:szCs w:val="22"/>
        </w:rPr>
        <w:t xml:space="preserve">Reserved for exchange-rate pressure, security remediation, infrastructure spikes, or safeguarding needs. Any drawdown will require written approval and clear reporting.</w:t>
      </w:r>
    </w:p>
    <w:p>
      <w:pPr>
        <w:pStyle w:val="Heading1"/>
        <w:keepNext/>
        <w:spacing w:before="300" w:after="140"/>
      </w:pPr>
      <w:r>
        <w:rPr>
          <w:rFonts w:ascii="Aptos" w:cs="Aptos" w:eastAsia="Aptos" w:hAnsi="Aptos"/>
          <w:b/>
          <w:bCs/>
          <w:i w:val="false"/>
          <w:iCs w:val="false"/>
          <w:color w:val="075E35"/>
          <w:sz w:val="32"/>
          <w:szCs w:val="32"/>
        </w:rPr>
        <w:t xml:space="preserve">6. Implementation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Period</w:t>
            </w:r>
          </w:p>
        </w:tc>
        <w:tc>
          <w:tcPr>
            <w:tcW w:type="pct" w:w="75%"/>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Milestones</w:t>
            </w:r>
          </w:p>
        </w:tc>
      </w:tr>
      <w:tr>
        <w:tc>
          <w:tcPr>
            <w:tcW w:type="pct" w:w="2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Months 1–3</w:t>
            </w:r>
          </w:p>
        </w:tc>
        <w:tc>
          <w:tcPr>
            <w:tcW w:type="pct" w:w="7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Complete verification policy; establish impact baseline; run user research; migrate initial community; launch employer pilots.</w:t>
            </w:r>
          </w:p>
        </w:tc>
      </w:tr>
      <w:tr>
        <w:tc>
          <w:tcPr>
            <w:tcW w:type="pct" w:w="2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Months 4–6</w:t>
            </w:r>
          </w:p>
        </w:tc>
        <w:tc>
          <w:tcPr>
            <w:tcW w:type="pct" w:w="7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Release MVP workflows, Local/International discovery, profiles, dashboard, XP/badges, and education; reach first commercial milestones.</w:t>
            </w:r>
          </w:p>
        </w:tc>
      </w:tr>
      <w:tr>
        <w:tc>
          <w:tcPr>
            <w:tcW w:type="pct" w:w="2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Months 7–9</w:t>
            </w:r>
          </w:p>
        </w:tc>
        <w:tc>
          <w:tcPr>
            <w:tcW w:type="pct" w:w="75%"/>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Add swipe matching, events, corporate dashboard pilots, sponsored quests, and payment testing; publish interim impact report.</w:t>
            </w:r>
          </w:p>
        </w:tc>
      </w:tr>
      <w:tr>
        <w:tc>
          <w:tcPr>
            <w:tcW w:type="pct" w:w="2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Months 10–12</w:t>
            </w:r>
          </w:p>
        </w:tc>
        <w:tc>
          <w:tcPr>
            <w:tcW w:type="pct" w:w="75%"/>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Improve retention; validate 100 employment outcomes; document safety pilot; deliver audited program and sustainability report.</w:t>
            </w:r>
          </w:p>
        </w:tc>
      </w:tr>
    </w:tbl>
    <w:p>
      <w:pPr>
        <w:pStyle w:val="Heading1"/>
        <w:keepNext/>
        <w:spacing w:before="300" w:after="140"/>
      </w:pPr>
      <w:r>
        <w:rPr>
          <w:rFonts w:ascii="Aptos" w:cs="Aptos" w:eastAsia="Aptos" w:hAnsi="Aptos"/>
          <w:b/>
          <w:bCs/>
          <w:i w:val="false"/>
          <w:iCs w:val="false"/>
          <w:color w:val="075E35"/>
          <w:sz w:val="32"/>
          <w:szCs w:val="32"/>
        </w:rPr>
        <w:t xml:space="preserve">7. Impact Measurement</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Unique registered and monthly active users, disaggregated only with consent and privacy safeguards.</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Verified recruiters, reviewed listings, scam removals, reports resolved, and safety incidents.</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Applications, interviews, paid gigs, confirmed hires, time-to-opportunity, and income outcomes where users consent.</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Learning completions, proof-of-work items, XP progression, referrals, and talent-pool inclusion.</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Employer repeat rate, partner campaigns, jobs created, and countries or cities reached.</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Qualitative case studies such as Chidera’s Web3 and local-employment pathways.</w:t>
      </w:r>
    </w:p>
    <w:p>
      <w:pPr>
        <w:pStyle w:val="Heading1"/>
        <w:keepNext/>
        <w:spacing w:before="300" w:after="140"/>
      </w:pPr>
      <w:r>
        <w:rPr>
          <w:rFonts w:ascii="Aptos" w:cs="Aptos" w:eastAsia="Aptos" w:hAnsi="Aptos"/>
          <w:b/>
          <w:bCs/>
          <w:i w:val="false"/>
          <w:iCs w:val="false"/>
          <w:color w:val="075E35"/>
          <w:sz w:val="32"/>
          <w:szCs w:val="32"/>
        </w:rPr>
        <w:t xml:space="preserve">8. Sustainability</w:t>
      </w:r>
    </w:p>
    <w:p>
      <w:pPr>
        <w:spacing w:after="140" w:line="300"/>
      </w:pPr>
      <w:r>
        <w:rPr>
          <w:rFonts w:ascii="Aptos" w:cs="Aptos" w:eastAsia="Aptos" w:hAnsi="Aptos"/>
          <w:b w:val="false"/>
          <w:bCs w:val="false"/>
          <w:i w:val="false"/>
          <w:iCs w:val="false"/>
          <w:color w:val="0B0F0D"/>
          <w:sz w:val="22"/>
          <w:szCs w:val="22"/>
        </w:rPr>
        <w:t xml:space="preserve">Because NaijaJobber is pre-revenue, sustainability will be demonstrated through evidence rather than assumed. The program will test diversified earned-revenue streams in stages: sponsored listings and Talent-as-a-Service first; premium subscriptions, courses, and affiliates after initial validation; then corporate dashboards, transaction fees, sponsored quests, enterprise recruitment, and responsible advertising. The conservative base management forecast targets annual operating break-even in Year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8%"/>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Sustainability evidence</w:t>
            </w:r>
          </w:p>
        </w:tc>
        <w:tc>
          <w:tcPr>
            <w:tcW w:type="pct" w:w="62%"/>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Grant-period test</w:t>
            </w:r>
          </w:p>
        </w:tc>
      </w:tr>
      <w:tr>
        <w:tc>
          <w:tcPr>
            <w:tcW w:type="pct" w:w="3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Willingness to pay</w:t>
            </w:r>
          </w:p>
        </w:tc>
        <w:tc>
          <w:tcPr>
            <w:tcW w:type="pct" w:w="6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Paid pilots and signed employer/project commitments</w:t>
            </w:r>
          </w:p>
        </w:tc>
      </w:tr>
      <w:tr>
        <w:tc>
          <w:tcPr>
            <w:tcW w:type="pct" w:w="38%"/>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Repeatability</w:t>
            </w:r>
          </w:p>
        </w:tc>
        <w:tc>
          <w:tcPr>
            <w:tcW w:type="pct" w:w="62%"/>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Repeat purchase rate for listings, staffing, and campaigns</w:t>
            </w:r>
          </w:p>
        </w:tc>
      </w:tr>
      <w:tr>
        <w:tc>
          <w:tcPr>
            <w:tcW w:type="pct" w:w="3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Recurring revenue</w:t>
            </w:r>
          </w:p>
        </w:tc>
        <w:tc>
          <w:tcPr>
            <w:tcW w:type="pct" w:w="6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Paid subscription/dashboard conversion and churn</w:t>
            </w:r>
          </w:p>
        </w:tc>
      </w:tr>
      <w:tr>
        <w:tc>
          <w:tcPr>
            <w:tcW w:type="pct" w:w="38%"/>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Unit economics</w:t>
            </w:r>
          </w:p>
        </w:tc>
        <w:tc>
          <w:tcPr>
            <w:tcW w:type="pct" w:w="62%"/>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Customer acquisition cost, gross margin, support cost, and collection rate</w:t>
            </w:r>
          </w:p>
        </w:tc>
      </w:tr>
      <w:tr>
        <w:tc>
          <w:tcPr>
            <w:tcW w:type="pct" w:w="38%"/>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Grant exit</w:t>
            </w:r>
          </w:p>
        </w:tc>
        <w:tc>
          <w:tcPr>
            <w:tcW w:type="pct" w:w="62%"/>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Monthly earned-revenue coverage of core operating expenses</w:t>
            </w:r>
          </w:p>
        </w:tc>
      </w:tr>
    </w:tbl>
    <w:p>
      <w:pPr>
        <w:pStyle w:val="Heading1"/>
        <w:keepNext/>
        <w:spacing w:before="300" w:after="140"/>
      </w:pPr>
      <w:r>
        <w:rPr>
          <w:rFonts w:ascii="Aptos" w:cs="Aptos" w:eastAsia="Aptos" w:hAnsi="Aptos"/>
          <w:b/>
          <w:bCs/>
          <w:i w:val="false"/>
          <w:iCs w:val="false"/>
          <w:color w:val="075E35"/>
          <w:sz w:val="32"/>
          <w:szCs w:val="32"/>
        </w:rPr>
        <w:t xml:space="preserve">9. Risk and Safeguarding</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No employer badge will imply an employment guarantee; verification scope and date will be explicit.</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Physical-job functionality will use risk controls and will not launch broadly before safeguarding design and insurance review.</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USDT redemption, tokens, trading, and financial promotions remain outside the grant MVP unless approved by counsel and delivered through compliant partners.</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Market claims, success stories, and employment outcomes will be documented before publication.</w:t>
      </w:r>
    </w:p>
    <w:p>
      <w:pPr>
        <w:pStyle w:val="ListParagraph"/>
        <w:numPr>
          <w:ilvl w:val="0"/>
          <w:numId w:val="1"/>
        </w:numPr>
        <w:spacing w:after="80" w:line="300"/>
      </w:pPr>
      <w:r>
        <w:rPr>
          <w:rFonts w:ascii="Aptos" w:cs="Aptos" w:eastAsia="Aptos" w:hAnsi="Aptos"/>
          <w:b w:val="false"/>
          <w:bCs w:val="false"/>
          <w:i w:val="false"/>
          <w:iCs w:val="false"/>
          <w:color w:val="0B0F0D"/>
          <w:sz w:val="22"/>
          <w:szCs w:val="22"/>
        </w:rPr>
        <w:t xml:space="preserve">Grant and platform data will be aggregated, access-controlled, and reported according to privacy requirements.</w:t>
      </w:r>
    </w:p>
    <w:p>
      <w:pPr>
        <w:pStyle w:val="Heading1"/>
        <w:keepNext/>
        <w:spacing w:before="300" w:after="140"/>
      </w:pPr>
      <w:r>
        <w:rPr>
          <w:rFonts w:ascii="Aptos" w:cs="Aptos" w:eastAsia="Aptos" w:hAnsi="Aptos"/>
          <w:b/>
          <w:bCs/>
          <w:i w:val="false"/>
          <w:iCs w:val="false"/>
          <w:color w:val="075E35"/>
          <w:sz w:val="32"/>
          <w:szCs w:val="32"/>
        </w:rPr>
        <w:t xml:space="preserve">10. Funder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Priority</w:t>
            </w:r>
          </w:p>
        </w:tc>
        <w:tc>
          <w:tcPr>
            <w:tcW w:type="pct" w:w="66%"/>
            <w:tcBorders>
              <w:top w:val="single" w:color="E5E9E7" w:sz="1"/>
              <w:left w:val="single" w:color="E5E9E7" w:sz="1"/>
              <w:bottom w:val="single" w:color="E5E9E7" w:sz="1"/>
              <w:right w:val="single" w:color="E5E9E7" w:sz="1"/>
            </w:tcBorders>
            <w:shd w:fill="075E35" w:color="auto" w:val="clear"/>
            <w:tcMar>
              <w:top w:type="dxa" w:w="100"/>
              <w:left w:type="dxa" w:w="110"/>
              <w:bottom w:type="dxa" w:w="100"/>
              <w:right w:type="dxa" w:w="110"/>
            </w:tcMar>
          </w:tcPr>
          <w:p>
            <w:pPr>
              <w:spacing w:after="0" w:line="300"/>
            </w:pPr>
            <w:r>
              <w:rPr>
                <w:rFonts w:ascii="Aptos" w:cs="Aptos" w:eastAsia="Aptos" w:hAnsi="Aptos"/>
                <w:b/>
                <w:bCs/>
                <w:i w:val="false"/>
                <w:iCs w:val="false"/>
                <w:color w:val="FFFFFF"/>
                <w:sz w:val="22"/>
                <w:szCs w:val="22"/>
              </w:rPr>
              <w:t xml:space="preserve">NaijaJobber contribution</w:t>
            </w:r>
          </w:p>
        </w:tc>
      </w:tr>
      <w:tr>
        <w:tc>
          <w:tcPr>
            <w:tcW w:type="pct" w:w="34%"/>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Youth employment</w:t>
            </w:r>
          </w:p>
        </w:tc>
        <w:tc>
          <w:tcPr>
            <w:tcW w:type="pct" w:w="66%"/>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Direct access to local, remote, and digital work plus outcome tracking.</w:t>
            </w:r>
          </w:p>
        </w:tc>
      </w:tr>
      <w:tr>
        <w:tc>
          <w:tcPr>
            <w:tcW w:type="pct" w:w="34%"/>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Digital inclusion</w:t>
            </w:r>
          </w:p>
        </w:tc>
        <w:tc>
          <w:tcPr>
            <w:tcW w:type="pct" w:w="66%"/>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Mobile-first discovery and guidance for degree and non-degree pathways.</w:t>
            </w:r>
          </w:p>
        </w:tc>
      </w:tr>
      <w:tr>
        <w:tc>
          <w:tcPr>
            <w:tcW w:type="pct" w:w="34%"/>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Entrepreneurship and Web3</w:t>
            </w:r>
          </w:p>
        </w:tc>
        <w:tc>
          <w:tcPr>
            <w:tcW w:type="pct" w:w="66%"/>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Contributor roles, quests, credentials, community careers, and ecosystem campaigns.</w:t>
            </w:r>
          </w:p>
        </w:tc>
      </w:tr>
      <w:tr>
        <w:tc>
          <w:tcPr>
            <w:tcW w:type="pct" w:w="34%"/>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Safety and trust</w:t>
            </w:r>
          </w:p>
        </w:tc>
        <w:tc>
          <w:tcPr>
            <w:tcW w:type="pct" w:w="66%"/>
            <w:tcBorders>
              <w:top w:val="single" w:color="E5E9E7" w:sz="1"/>
              <w:left w:val="single" w:color="E5E9E7" w:sz="1"/>
              <w:bottom w:val="single" w:color="E5E9E7" w:sz="1"/>
              <w:right w:val="single" w:color="E5E9E7" w:sz="1"/>
            </w:tcBorders>
            <w:shd w:fill="F7FAF8" w:color="auto" w:val="clear"/>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Recruiter verification, moderation, local-gig safeguarding, and transparent listings.</w:t>
            </w:r>
          </w:p>
        </w:tc>
      </w:tr>
      <w:tr>
        <w:tc>
          <w:tcPr>
            <w:tcW w:type="pct" w:w="34%"/>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Scalability</w:t>
            </w:r>
          </w:p>
        </w:tc>
        <w:tc>
          <w:tcPr>
            <w:tcW w:type="pct" w:w="66%"/>
            <w:tcBorders>
              <w:top w:val="single" w:color="E5E9E7" w:sz="1"/>
              <w:left w:val="single" w:color="E5E9E7" w:sz="1"/>
              <w:bottom w:val="single" w:color="E5E9E7" w:sz="1"/>
              <w:right w:val="single" w:color="E5E9E7" w:sz="1"/>
            </w:tcBorders>
            <w:tcMar>
              <w:top w:type="dxa" w:w="90"/>
              <w:left w:type="dxa" w:w="110"/>
              <w:bottom w:type="dxa" w:w="90"/>
              <w:right w:type="dxa" w:w="110"/>
            </w:tcMar>
          </w:tcPr>
          <w:p>
            <w:pPr>
              <w:spacing w:after="0" w:line="300"/>
            </w:pPr>
            <w:r>
              <w:rPr>
                <w:rFonts w:ascii="Aptos" w:cs="Aptos" w:eastAsia="Aptos" w:hAnsi="Aptos"/>
                <w:b w:val="false"/>
                <w:bCs w:val="false"/>
                <w:i w:val="false"/>
                <w:iCs w:val="false"/>
                <w:color w:val="0B0F0D"/>
                <w:sz w:val="22"/>
                <w:szCs w:val="22"/>
              </w:rPr>
              <w:t xml:space="preserve">Community-led acquisition, employer SaaS, multi-city ambassadors, and API-ready infrastructure.</w:t>
            </w:r>
          </w:p>
        </w:tc>
      </w:tr>
    </w:tbl>
    <w:p>
      <w:pPr>
        <w:pStyle w:val="Heading1"/>
        <w:keepNext/>
        <w:spacing w:before="300" w:after="140"/>
      </w:pPr>
      <w:r>
        <w:rPr>
          <w:rFonts w:ascii="Aptos" w:cs="Aptos" w:eastAsia="Aptos" w:hAnsi="Aptos"/>
          <w:b/>
          <w:bCs/>
          <w:i w:val="false"/>
          <w:iCs w:val="false"/>
          <w:color w:val="075E35"/>
          <w:sz w:val="32"/>
          <w:szCs w:val="32"/>
        </w:rPr>
        <w:t xml:space="preserve">11. Contact</w:t>
      </w:r>
    </w:p>
    <w:p>
      <w:pPr>
        <w:spacing w:after="140" w:line="300"/>
      </w:pPr>
      <w:r>
        <w:rPr>
          <w:rFonts w:ascii="Aptos" w:cs="Aptos" w:eastAsia="Aptos" w:hAnsi="Aptos"/>
          <w:b/>
          <w:bCs/>
          <w:i w:val="false"/>
          <w:iCs w:val="false"/>
          <w:color w:val="075E35"/>
          <w:sz w:val="22"/>
          <w:szCs w:val="22"/>
        </w:rPr>
        <w:t xml:space="preserve">Applicant: </w:t>
      </w:r>
      <w:r>
        <w:rPr>
          <w:rFonts w:ascii="Aptos" w:cs="Aptos" w:eastAsia="Aptos" w:hAnsi="Aptos"/>
          <w:b w:val="false"/>
          <w:bCs w:val="false"/>
          <w:i w:val="false"/>
          <w:iCs w:val="false"/>
          <w:color w:val="0B0F0D"/>
          <w:sz w:val="22"/>
          <w:szCs w:val="22"/>
        </w:rPr>
        <w:t xml:space="preserve">NaijaJobber</w:t>
      </w:r>
    </w:p>
    <w:p>
      <w:pPr>
        <w:spacing w:after="140" w:line="300"/>
      </w:pPr>
      <w:r>
        <w:rPr>
          <w:rFonts w:ascii="Aptos" w:cs="Aptos" w:eastAsia="Aptos" w:hAnsi="Aptos"/>
          <w:b/>
          <w:bCs/>
          <w:i w:val="false"/>
          <w:iCs w:val="false"/>
          <w:color w:val="075E35"/>
          <w:sz w:val="22"/>
          <w:szCs w:val="22"/>
        </w:rPr>
        <w:t xml:space="preserve">Founder: </w:t>
      </w:r>
      <w:r>
        <w:rPr>
          <w:rFonts w:ascii="Aptos" w:cs="Aptos" w:eastAsia="Aptos" w:hAnsi="Aptos"/>
          <w:b w:val="false"/>
          <w:bCs w:val="false"/>
          <w:i w:val="false"/>
          <w:iCs w:val="false"/>
          <w:color w:val="0B0F0D"/>
          <w:sz w:val="22"/>
          <w:szCs w:val="22"/>
        </w:rPr>
        <w:t xml:space="preserve">ELLFEX</w:t>
      </w:r>
    </w:p>
    <w:p>
      <w:pPr>
        <w:spacing w:after="140" w:line="300"/>
      </w:pPr>
      <w:r>
        <w:rPr>
          <w:rFonts w:ascii="Aptos" w:cs="Aptos" w:eastAsia="Aptos" w:hAnsi="Aptos"/>
          <w:b/>
          <w:bCs/>
          <w:i w:val="false"/>
          <w:iCs w:val="false"/>
          <w:color w:val="075E35"/>
          <w:sz w:val="22"/>
          <w:szCs w:val="22"/>
        </w:rPr>
        <w:t xml:space="preserve">X / Twitter: </w:t>
      </w:r>
      <w:r>
        <w:rPr>
          <w:rFonts w:ascii="Aptos" w:cs="Aptos" w:eastAsia="Aptos" w:hAnsi="Aptos"/>
          <w:b w:val="false"/>
          <w:bCs w:val="false"/>
          <w:i w:val="false"/>
          <w:iCs w:val="false"/>
          <w:color w:val="0B0F0D"/>
          <w:sz w:val="22"/>
          <w:szCs w:val="22"/>
        </w:rPr>
        <w:t xml:space="preserve">https://x.com/NaijaJobber</w:t>
      </w:r>
    </w:p>
    <w:p>
      <w:pPr>
        <w:spacing w:after="140" w:line="300"/>
      </w:pPr>
      <w:r>
        <w:rPr>
          <w:rFonts w:ascii="Aptos" w:cs="Aptos" w:eastAsia="Aptos" w:hAnsi="Aptos"/>
          <w:b/>
          <w:bCs/>
          <w:i w:val="false"/>
          <w:iCs w:val="false"/>
          <w:color w:val="075E35"/>
          <w:sz w:val="22"/>
          <w:szCs w:val="22"/>
        </w:rPr>
        <w:t xml:space="preserve">Telegram: </w:t>
      </w:r>
      <w:r>
        <w:rPr>
          <w:rFonts w:ascii="Aptos" w:cs="Aptos" w:eastAsia="Aptos" w:hAnsi="Aptos"/>
          <w:b w:val="false"/>
          <w:bCs w:val="false"/>
          <w:i w:val="false"/>
          <w:iCs w:val="false"/>
          <w:color w:val="0B0F0D"/>
          <w:sz w:val="22"/>
          <w:szCs w:val="22"/>
        </w:rPr>
        <w:t xml:space="preserve">https://t.me/EllfexNaijaJobber</w:t>
      </w:r>
    </w:p>
    <w:p>
      <w:pPr>
        <w:spacing w:after="140" w:line="300"/>
      </w:pPr>
      <w:r>
        <w:rPr>
          <w:rFonts w:ascii="Aptos" w:cs="Aptos" w:eastAsia="Aptos" w:hAnsi="Aptos"/>
          <w:b/>
          <w:bCs/>
          <w:i w:val="false"/>
          <w:iCs w:val="false"/>
          <w:color w:val="075E35"/>
          <w:sz w:val="22"/>
          <w:szCs w:val="22"/>
        </w:rPr>
        <w:t xml:space="preserve">Email: </w:t>
      </w:r>
      <w:r>
        <w:rPr>
          <w:rFonts w:ascii="Aptos" w:cs="Aptos" w:eastAsia="Aptos" w:hAnsi="Aptos"/>
          <w:b w:val="false"/>
          <w:bCs w:val="false"/>
          <w:i w:val="false"/>
          <w:iCs w:val="false"/>
          <w:color w:val="0B0F0D"/>
          <w:sz w:val="22"/>
          <w:szCs w:val="22"/>
        </w:rPr>
        <w:t xml:space="preserve">infoellfex@gmail.com</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9E7" w:sz="4"/>
      </w:pBdr>
      <w:jc w:val="center"/>
    </w:pPr>
    <w:r>
      <w:rPr>
        <w:rFonts w:ascii="Aptos" w:cs="Aptos" w:eastAsia="Aptos" w:hAnsi="Aptos"/>
        <w:b w:val="false"/>
        <w:bCs w:val="false"/>
        <w:i w:val="false"/>
        <w:iCs w:val="false"/>
        <w:color w:val="5F6B65"/>
        <w:sz w:val="16"/>
        <w:szCs w:val="16"/>
      </w:rPr>
      <w:t xml:space="preserve">NaijaJobber Grant Budget Narrative  •  Confidential  •  </w:t>
    </w:r>
    <w:r>
      <w:rPr>
        <w:color w:val="5F6B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E66B" w:sz="8"/>
      </w:pBdr>
      <w:spacing w:after="100"/>
    </w:pPr>
    <w:r>
      <w:rPr>
        <w:rFonts w:ascii="Aptos" w:cs="Aptos" w:eastAsia="Aptos" w:hAnsi="Aptos"/>
        <w:b/>
        <w:bCs/>
        <w:i w:val="false"/>
        <w:iCs w:val="false"/>
        <w:color w:val="075E35"/>
        <w:sz w:val="20"/>
        <w:szCs w:val="20"/>
      </w:rPr>
      <w:t xml:space="preserve">Naija</w:t>
    </w:r>
    <w:r>
      <w:rPr>
        <w:rFonts w:ascii="Aptos" w:cs="Aptos" w:eastAsia="Aptos" w:hAnsi="Aptos"/>
        <w:b/>
        <w:bCs/>
        <w:i w:val="false"/>
        <w:iCs w:val="false"/>
        <w:color w:val="19E66B"/>
        <w:sz w:val="20"/>
        <w:szCs w:val="20"/>
      </w:rPr>
      <w:t xml:space="preserve">Jobber</w:t>
    </w:r>
    <w:r>
      <w:rPr>
        <w:rFonts w:ascii="Aptos" w:cs="Aptos" w:eastAsia="Aptos" w:hAnsi="Aptos"/>
        <w:b w:val="false"/>
        <w:bCs w:val="false"/>
        <w:i w:val="false"/>
        <w:iCs w:val="false"/>
        <w:color w:val="5F6B65"/>
        <w:sz w:val="16"/>
        <w:szCs w:val="16"/>
      </w:rPr>
      <w:t xml:space="preserve">  •  From Hustle to Hire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B0F0D"/>
        <w:sz w:val="22"/>
        <w:szCs w:val="22"/>
      </w:rPr>
    </w:rPrDefault>
    <w:pPrDefault>
      <w:pPr>
        <w:spacing w:line="300"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NaijaJobber Grant Budget Narrative</dc:title>
  <dc:subject>NaijaJobber Foundation Document</dc:subject>
  <dc:creator>NaijaJobber</dc:creator>
  <dc:description>Editable light-theme branded NaijaJobber document</dc:description>
  <cp:lastModifiedBy>Un-named</cp:lastModifiedBy>
  <cp:revision>1</cp:revision>
  <dcterms:created xsi:type="dcterms:W3CDTF">2026-07-18T00:40:47.118Z</dcterms:created>
  <dcterms:modified xsi:type="dcterms:W3CDTF">2026-07-18T00:40:47.118Z</dcterms:modified>
</cp:coreProperties>
</file>

<file path=docProps/custom.xml><?xml version="1.0" encoding="utf-8"?>
<Properties xmlns="http://schemas.openxmlformats.org/officeDocument/2006/custom-properties" xmlns:vt="http://schemas.openxmlformats.org/officeDocument/2006/docPropsVTypes"/>
</file>