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300" w:lineRule="auto"/>
        <w:jc w:val="center"/>
      </w:pPr>
      <w:r>
        <w:rPr>
          <w:rFonts w:ascii="Times New Roman" w:hAnsi="Times New Roman" w:eastAsia="Times New Roman"/>
          <w:b/>
          <w:sz w:val="28"/>
        </w:rPr>
        <w:t>EXERCISE – 15</w:t>
      </w:r>
    </w:p>
    <w:p>
      <w:pPr>
        <w:spacing w:after="60" w:line="300" w:lineRule="auto"/>
        <w:jc w:val="center"/>
      </w:pPr>
      <w:r>
        <w:rPr>
          <w:rFonts w:ascii="Times New Roman" w:hAnsi="Times New Roman" w:eastAsia="Times New Roman"/>
          <w:b/>
          <w:sz w:val="26"/>
        </w:rPr>
        <w:t>Information Gathering Using theHarvester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Question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Demonstrate passive information gathering using a reserved example domain.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Aim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To understand how theHarvester gathers publicly indexed domain-related information.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1. VIEW HELP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Command / Method: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theHarvester -h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Lists available sources and options.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4114800" cy="622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5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2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2. EXAMPLE LOOKUP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Command / Method: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theHarvester -d example.com -b crtsh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Illustrates a lookup for the reserved example.com documentation domain.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4114800" cy="761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5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6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Safety / Notes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Use only approved domains and sources.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Result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theHarvester usage was demonstrated with a documentation-only domain.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