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300" w:lineRule="auto"/>
        <w:jc w:val="center"/>
      </w:pPr>
      <w:r>
        <w:rPr>
          <w:rFonts w:ascii="Times New Roman" w:hAnsi="Times New Roman" w:eastAsia="Times New Roman"/>
          <w:b/>
          <w:sz w:val="28"/>
        </w:rPr>
        <w:t>EXERCISE – 18</w:t>
      </w:r>
    </w:p>
    <w:p>
      <w:pPr>
        <w:spacing w:after="60" w:line="300" w:lineRule="auto"/>
        <w:jc w:val="center"/>
      </w:pPr>
      <w:r>
        <w:rPr>
          <w:rFonts w:ascii="Times New Roman" w:hAnsi="Times New Roman" w:eastAsia="Times New Roman"/>
          <w:b/>
          <w:sz w:val="26"/>
        </w:rPr>
        <w:t>Vulnerability Analysis Using Nikto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Question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Demonstrate Nikto web-server checks against a local training server.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Aim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To understand how Nikto checks web servers for risky configurations and known files.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1. VIEW HELP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Command / Method: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nikto -Help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Displays scanner options.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4114800" cy="622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8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2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2. LOCAL SCAN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Command / Method: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nikto -h http://127.0.0.1:8080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Scans a local training server on port 8080; results depend on its configuration.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4114800" cy="761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8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61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Safety / Notes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Do not scan third-party systems without explicit permission.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Result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An authorized local Nikto scan workflow was demonstrated.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