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300" w:lineRule="auto"/>
        <w:jc w:val="center"/>
      </w:pPr>
      <w:r>
        <w:rPr>
          <w:rFonts w:ascii="Times New Roman" w:hAnsi="Times New Roman" w:eastAsia="Times New Roman"/>
          <w:b/>
          <w:sz w:val="28"/>
        </w:rPr>
        <w:t>EXERCISE – 19</w:t>
      </w:r>
    </w:p>
    <w:p>
      <w:pPr>
        <w:spacing w:after="60" w:line="300" w:lineRule="auto"/>
        <w:jc w:val="center"/>
      </w:pPr>
      <w:r>
        <w:rPr>
          <w:rFonts w:ascii="Times New Roman" w:hAnsi="Times New Roman" w:eastAsia="Times New Roman"/>
          <w:b/>
          <w:sz w:val="26"/>
        </w:rPr>
        <w:t>Wireshark Network Traffic Sniffing and Analysis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Question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Capture and analyze network traffic with Wireshark in a local lab.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Aim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To inspect interfaces, capture authorized traffic, and review packet headers.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1. LIST INTERFACES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tshark -D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Lists available capture interfaces.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900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9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00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2. CAPTURE AND INSPECT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In Wireshark, capture loopback traffic; use display filter: icmp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Generate localhost ping traffic and inspect ICMP packet fields.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761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9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6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Safety / Notes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Capture only traffic you own or are authorized to inspect.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Result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Wireshark capture and packet inspection were outlined for localhost traffic.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