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4E79"/>
          <w:sz w:val="56"/>
        </w:rPr>
        <w:t>Gardener F5 Application</w:t>
        <w:br/>
        <w:t>Load Balancer Extension</w:t>
      </w:r>
    </w:p>
    <w:p>
      <w:pPr>
        <w:jc w:val="center"/>
      </w:pPr>
      <w:r>
        <w:rPr>
          <w:b/>
          <w:sz w:val="32"/>
        </w:rPr>
        <w:t>Part 1 - Architecture Basis, Capability Mapping, and Target Solution</w:t>
      </w:r>
    </w:p>
    <w:p>
      <w:pPr>
        <w:spacing w:before="480"/>
        <w:jc w:val="center"/>
      </w:pPr>
      <w:r>
        <w:rPr>
          <w:i/>
        </w:rPr>
        <w:t>Target design baseline</w:t>
        <w:br/>
        <w:t>Greenfield architecture derived from AWS controller patterns and constrained by verified CMP capabilities</w:t>
      </w:r>
    </w:p>
    <w:p>
      <w:pPr>
        <w:spacing w:before="1200"/>
        <w:jc w:val="center"/>
      </w:pPr>
      <w:r>
        <w:rPr>
          <w:b/>
          <w:color w:val="9C2C2C"/>
        </w:rPr>
        <w:t>Not an assessment of the current implementation</w:t>
      </w:r>
    </w:p>
    <w:p>
      <w:r>
        <w:br w:type="page"/>
      </w:r>
    </w:p>
    <w:p>
      <w:pPr>
        <w:pStyle w:val="Heading1"/>
      </w:pPr>
      <w:r>
        <w:t>1. Purpose and design method</w:t>
      </w:r>
    </w:p>
    <w:p>
      <w:r>
        <w:t>This part establishes the architectural basis and the target solution for a Gardener extension that provides application load balancing through CMP/F5 for Shoot clusters.</w:t>
      </w:r>
    </w:p>
    <w:p>
      <w:r>
        <w:t>The design uses three inputs with deliberately different authority:</w:t>
      </w:r>
    </w:p>
    <w:p>
      <w:pPr>
        <w:pStyle w:val="ListBullet"/>
      </w:pPr>
      <w:r>
        <w:t>AWS Load Balancer Controller repository - architectural reference for controller decomposition, model building, resource graphs, deployers, finalizers, event fan-out, ownership tracking, and idempotent reconciliation.</w:t>
      </w:r>
    </w:p>
    <w:p>
      <w:pPr>
        <w:pStyle w:val="ListBullet"/>
      </w:pPr>
      <w:r>
        <w:t>CMP Swagger/OpenAPI - authoritative capability contract for what CMP can provision on F5.</w:t>
      </w:r>
    </w:p>
    <w:p>
      <w:pPr>
        <w:pStyle w:val="ListBullet"/>
      </w:pPr>
      <w:r>
        <w:t>Existing Gardener F5 extension repository - evidence of CMP endpoint structure, authentication headers, request transport, and response handling; not the architectural baseline.</w:t>
      </w:r>
    </w:p>
    <w:p>
      <w:r>
        <w:t>The resulting architecture is therefore not a copy of AWS and not a rewrite of the current extension. It is a Gardener-specific controller architecture that adopts the AWS patterns that remain valid when mapped to CMP.</w:t>
      </w:r>
    </w:p>
    <w:p>
      <w:pPr>
        <w:jc w:val="center"/>
      </w:pPr>
      <w:r>
        <w:drawing>
          <wp:inline xmlns:a="http://schemas.openxmlformats.org/drawingml/2006/main" xmlns:pic="http://schemas.openxmlformats.org/drawingml/2006/picture">
            <wp:extent cx="6217920" cy="2453928"/>
            <wp:docPr id="1" name="Picture 1"/>
            <wp:cNvGraphicFramePr>
              <a:graphicFrameLocks noChangeAspect="1"/>
            </wp:cNvGraphicFramePr>
            <a:graphic>
              <a:graphicData uri="http://schemas.openxmlformats.org/drawingml/2006/picture">
                <pic:pic>
                  <pic:nvPicPr>
                    <pic:cNvPr id="0" name="01_design_method.png"/>
                    <pic:cNvPicPr/>
                  </pic:nvPicPr>
                  <pic:blipFill>
                    <a:blip r:embed="rId11"/>
                    <a:stretch>
                      <a:fillRect/>
                    </a:stretch>
                  </pic:blipFill>
                  <pic:spPr>
                    <a:xfrm>
                      <a:off x="0" y="0"/>
                      <a:ext cx="6217920" cy="2453928"/>
                    </a:xfrm>
                    <a:prstGeom prst="rect"/>
                  </pic:spPr>
                </pic:pic>
              </a:graphicData>
            </a:graphic>
          </wp:inline>
        </w:drawing>
      </w:r>
    </w:p>
    <w:p>
      <w:pPr>
        <w:jc w:val="center"/>
      </w:pPr>
      <w:r>
        <w:rPr>
          <w:i/>
          <w:sz w:val="16"/>
        </w:rPr>
        <w:t>Figure 1 - Design inputs and authority</w:t>
      </w:r>
    </w:p>
    <w:p>
      <w:pPr>
        <w:pStyle w:val="Heading2"/>
      </w:pPr>
      <w:r>
        <w:t>1.1 Governing decision rule</w:t>
      </w:r>
    </w:p>
    <w:p>
      <w:pPr>
        <w:pStyle w:val="CodeBlock"/>
        <w:shd w:fill="F3F5F7"/>
      </w:pPr>
      <w:r>
        <w:t>Kubernetes requirement</w:t>
        <w:br/>
        <w:t xml:space="preserve">        -&gt; AWS implementation pattern</w:t>
        <w:br/>
        <w:t xml:space="preserve">        -&gt; CMP capability verification</w:t>
        <w:br/>
        <w:t xml:space="preserve">        -&gt; F5 extension decision</w:t>
        <w:br/>
        <w:br/>
        <w:t>CMP fully supports it    -&gt; implement</w:t>
        <w:br/>
        <w:t>CMP supports a subset    -&gt; implement the supported subset and validate explicitly</w:t>
        <w:br/>
        <w:t>CMP does not support it  -&gt; reject or defer; never silently approximate</w:t>
      </w:r>
    </w:p>
    <w:p>
      <w:pPr>
        <w:pStyle w:val="Heading1"/>
      </w:pPr>
      <w:r>
        <w:t>2. Repository-derived architectural findings</w:t>
      </w:r>
    </w:p>
    <w:p>
      <w:pPr>
        <w:pStyle w:val="Heading2"/>
      </w:pPr>
      <w:r>
        <w:t>2.1 Patterns adopted from AWS Load Balancer Controller</w:t>
      </w:r>
    </w:p>
    <w:p>
      <w:r>
        <w:t>The supplied AWS repository shows the same high-level flow in both Service and Ingress controllers: build an in-memory model, deploy the model, manage finalizers, and publish status. Ingress uses a group reconciliation key and deployment is delegated to resource-specific managers.</w:t>
      </w:r>
    </w:p>
    <w:p>
      <w:pPr>
        <w:pStyle w:val="ListBullet"/>
      </w:pPr>
      <w:r>
        <w:t>Separate Service and Ingress reconciliation entry points.</w:t>
      </w:r>
    </w:p>
    <w:p>
      <w:pPr>
        <w:pStyle w:val="ListBullet"/>
      </w:pPr>
      <w:r>
        <w:t>Thin controllers that orchestrate fetch, model build, deploy, finalizer, status, events, and retry.</w:t>
      </w:r>
    </w:p>
    <w:p>
      <w:pPr>
        <w:pStyle w:val="ListBullet"/>
      </w:pPr>
      <w:r>
        <w:t>Resource-specific model builders.</w:t>
      </w:r>
    </w:p>
    <w:p>
      <w:pPr>
        <w:pStyle w:val="ListBullet"/>
      </w:pPr>
      <w:r>
        <w:t>An in-memory resource stack with logical resources and dependencies.</w:t>
      </w:r>
    </w:p>
    <w:p>
      <w:pPr>
        <w:pStyle w:val="ListBullet"/>
      </w:pPr>
      <w:r>
        <w:t>Resource-specific deployment managers rather than provider CRUD in controllers.</w:t>
      </w:r>
    </w:p>
    <w:p>
      <w:pPr>
        <w:pStyle w:val="ListBullet"/>
      </w:pPr>
      <w:r>
        <w:t>Ingress group reconciliation for safe shared frontends.</w:t>
      </w:r>
    </w:p>
    <w:p>
      <w:pPr>
        <w:pStyle w:val="ListBullet"/>
      </w:pPr>
      <w:r>
        <w:t>Dependent-resource event mapping back to the owning reconciliation key.</w:t>
      </w:r>
    </w:p>
    <w:p>
      <w:pPr>
        <w:pStyle w:val="ListBullet"/>
      </w:pPr>
      <w:r>
        <w:t>Explicit tracking/ownership and finalizer-based cleanup.</w:t>
      </w:r>
    </w:p>
    <w:p>
      <w:r>
        <w:t>Repository evidence: controllers/service/service_controller.go; controllers/ingress/group_controller.go; pkg/service/model_builder.go; pkg/ingress/model_builder.go; pkg/model/core; pkg/deploy/elbv2.</w:t>
      </w:r>
    </w:p>
    <w:p>
      <w:pPr>
        <w:pStyle w:val="Heading2"/>
      </w:pPr>
      <w:r>
        <w:t>2.2 CMP capabilities verified from Swagger</w:t>
      </w:r>
    </w:p>
    <w:p>
      <w:r>
        <w:t>The supplied CMP Swagger exposes a decomposed resource API that can support an AWS-inspired desired-state graph without importing AWS-specific resource semantics.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pPr>
              <w:spacing w:after="0"/>
            </w:pPr>
            <w:r/>
            <w:r>
              <w:rPr>
                <w:b/>
                <w:sz w:val="16"/>
              </w:rPr>
              <w:t>Capability</w:t>
            </w:r>
          </w:p>
        </w:tc>
        <w:tc>
          <w:tcPr>
            <w:tcW w:type="dxa" w:w="5112"/>
            <w:shd w:fill="D9EAF7"/>
            <w:vAlign w:val="center"/>
          </w:tcPr>
          <w:p>
            <w:pPr>
              <w:spacing w:after="0"/>
            </w:pPr>
            <w:r/>
            <w:r>
              <w:rPr>
                <w:b/>
                <w:sz w:val="16"/>
              </w:rPr>
              <w:t>Verified CMP operation</w:t>
            </w:r>
          </w:p>
        </w:tc>
      </w:tr>
      <w:tr>
        <w:tc>
          <w:tcPr>
            <w:tcW w:type="dxa" w:w="5112"/>
            <w:vAlign w:val="center"/>
          </w:tcPr>
          <w:p>
            <w:pPr>
              <w:spacing w:after="0"/>
            </w:pPr>
            <w:r/>
            <w:r>
              <w:rPr>
                <w:b w:val="0"/>
                <w:sz w:val="15"/>
              </w:rPr>
              <w:t>LB Service</w:t>
            </w:r>
          </w:p>
        </w:tc>
        <w:tc>
          <w:tcPr>
            <w:tcW w:type="dxa" w:w="5112"/>
            <w:vAlign w:val="center"/>
          </w:tcPr>
          <w:p>
            <w:pPr>
              <w:spacing w:after="0"/>
            </w:pPr>
            <w:r/>
            <w:r>
              <w:rPr>
                <w:b w:val="0"/>
                <w:sz w:val="15"/>
              </w:rPr>
              <w:t>create/list/get/delete; flavor, network, VPC, labels, optional HA</w:t>
            </w:r>
          </w:p>
        </w:tc>
      </w:tr>
      <w:tr>
        <w:tc>
          <w:tcPr>
            <w:tcW w:type="dxa" w:w="5112"/>
            <w:vAlign w:val="center"/>
          </w:tcPr>
          <w:p>
            <w:pPr>
              <w:spacing w:after="0"/>
            </w:pPr>
            <w:r/>
            <w:r>
              <w:rPr>
                <w:b w:val="0"/>
                <w:sz w:val="15"/>
              </w:rPr>
              <w:t>VIP</w:t>
            </w:r>
          </w:p>
        </w:tc>
        <w:tc>
          <w:tcPr>
            <w:tcW w:type="dxa" w:w="5112"/>
            <w:vAlign w:val="center"/>
          </w:tcPr>
          <w:p>
            <w:pPr>
              <w:spacing w:after="0"/>
            </w:pPr>
            <w:r/>
            <w:r>
              <w:rPr>
                <w:b w:val="0"/>
                <w:sz w:val="15"/>
              </w:rPr>
              <w:t>allocate/list/delete under LB Service</w:t>
            </w:r>
          </w:p>
        </w:tc>
      </w:tr>
      <w:tr>
        <w:tc>
          <w:tcPr>
            <w:tcW w:type="dxa" w:w="5112"/>
            <w:vAlign w:val="center"/>
          </w:tcPr>
          <w:p>
            <w:pPr>
              <w:spacing w:after="0"/>
            </w:pPr>
            <w:r/>
            <w:r>
              <w:rPr>
                <w:b w:val="0"/>
                <w:sz w:val="15"/>
              </w:rPr>
              <w:t>Virtual Server</w:t>
            </w:r>
          </w:p>
        </w:tc>
        <w:tc>
          <w:tcPr>
            <w:tcW w:type="dxa" w:w="5112"/>
            <w:vAlign w:val="center"/>
          </w:tcPr>
          <w:p>
            <w:pPr>
              <w:spacing w:after="0"/>
            </w:pPr>
            <w:r/>
            <w:r>
              <w:rPr>
                <w:b w:val="0"/>
                <w:sz w:val="15"/>
              </w:rPr>
              <w:t>create/list/get/patch/delete; protocol, port, algorithm, persistence, redirect, XFF</w:t>
            </w:r>
          </w:p>
        </w:tc>
      </w:tr>
      <w:tr>
        <w:tc>
          <w:tcPr>
            <w:tcW w:type="dxa" w:w="5112"/>
            <w:vAlign w:val="center"/>
          </w:tcPr>
          <w:p>
            <w:pPr>
              <w:spacing w:after="0"/>
            </w:pPr>
            <w:r/>
            <w:r>
              <w:rPr>
                <w:b w:val="0"/>
                <w:sz w:val="15"/>
              </w:rPr>
              <w:t>Pools</w:t>
            </w:r>
          </w:p>
        </w:tc>
        <w:tc>
          <w:tcPr>
            <w:tcW w:type="dxa" w:w="5112"/>
            <w:vAlign w:val="center"/>
          </w:tcPr>
          <w:p>
            <w:pPr>
              <w:spacing w:after="0"/>
            </w:pPr>
            <w:r/>
            <w:r>
              <w:rPr>
                <w:b w:val="0"/>
                <w:sz w:val="15"/>
              </w:rPr>
              <w:t>create/get/delete; multiple pools per Virtual Server; set default</w:t>
            </w:r>
          </w:p>
        </w:tc>
      </w:tr>
      <w:tr>
        <w:tc>
          <w:tcPr>
            <w:tcW w:type="dxa" w:w="5112"/>
            <w:vAlign w:val="center"/>
          </w:tcPr>
          <w:p>
            <w:pPr>
              <w:spacing w:after="0"/>
            </w:pPr>
            <w:r/>
            <w:r>
              <w:rPr>
                <w:b w:val="0"/>
                <w:sz w:val="15"/>
              </w:rPr>
              <w:t>Members</w:t>
            </w:r>
          </w:p>
        </w:tc>
        <w:tc>
          <w:tcPr>
            <w:tcW w:type="dxa" w:w="5112"/>
            <w:vAlign w:val="center"/>
          </w:tcPr>
          <w:p>
            <w:pPr>
              <w:spacing w:after="0"/>
            </w:pPr>
            <w:r/>
            <w:r>
              <w:rPr>
                <w:b w:val="0"/>
                <w:sz w:val="15"/>
              </w:rPr>
              <w:t>add/update/delete; health and operating-state operations</w:t>
            </w:r>
          </w:p>
        </w:tc>
      </w:tr>
      <w:tr>
        <w:tc>
          <w:tcPr>
            <w:tcW w:type="dxa" w:w="5112"/>
            <w:vAlign w:val="center"/>
          </w:tcPr>
          <w:p>
            <w:pPr>
              <w:spacing w:after="0"/>
            </w:pPr>
            <w:r/>
            <w:r>
              <w:rPr>
                <w:b w:val="0"/>
                <w:sz w:val="15"/>
              </w:rPr>
              <w:t>Monitors</w:t>
            </w:r>
          </w:p>
        </w:tc>
        <w:tc>
          <w:tcPr>
            <w:tcW w:type="dxa" w:w="5112"/>
            <w:vAlign w:val="center"/>
          </w:tcPr>
          <w:p>
            <w:pPr>
              <w:spacing w:after="0"/>
            </w:pPr>
            <w:r/>
            <w:r>
              <w:rPr>
                <w:b w:val="0"/>
                <w:sz w:val="15"/>
              </w:rPr>
              <w:t>create/list/update/delete and availability policy</w:t>
            </w:r>
          </w:p>
        </w:tc>
      </w:tr>
      <w:tr>
        <w:tc>
          <w:tcPr>
            <w:tcW w:type="dxa" w:w="5112"/>
            <w:vAlign w:val="center"/>
          </w:tcPr>
          <w:p>
            <w:pPr>
              <w:spacing w:after="0"/>
            </w:pPr>
            <w:r/>
            <w:r>
              <w:rPr>
                <w:b w:val="0"/>
                <w:sz w:val="15"/>
              </w:rPr>
              <w:t>Routing rules</w:t>
            </w:r>
          </w:p>
        </w:tc>
        <w:tc>
          <w:tcPr>
            <w:tcW w:type="dxa" w:w="5112"/>
            <w:vAlign w:val="center"/>
          </w:tcPr>
          <w:p>
            <w:pPr>
              <w:spacing w:after="0"/>
            </w:pPr>
            <w:r/>
            <w:r>
              <w:rPr>
                <w:b w:val="0"/>
                <w:sz w:val="15"/>
              </w:rPr>
              <w:t>host, path, match type, target pool</w:t>
            </w:r>
          </w:p>
        </w:tc>
      </w:tr>
      <w:tr>
        <w:tc>
          <w:tcPr>
            <w:tcW w:type="dxa" w:w="5112"/>
            <w:vAlign w:val="center"/>
          </w:tcPr>
          <w:p>
            <w:pPr>
              <w:spacing w:after="0"/>
            </w:pPr>
            <w:r/>
            <w:r>
              <w:rPr>
                <w:b w:val="0"/>
                <w:sz w:val="15"/>
              </w:rPr>
              <w:t>Certificates</w:t>
            </w:r>
          </w:p>
        </w:tc>
        <w:tc>
          <w:tcPr>
            <w:tcW w:type="dxa" w:w="5112"/>
            <w:vAlign w:val="center"/>
          </w:tcPr>
          <w:p>
            <w:pPr>
              <w:spacing w:after="0"/>
            </w:pPr>
            <w:r/>
            <w:r>
              <w:rPr>
                <w:b w:val="0"/>
                <w:sz w:val="15"/>
              </w:rPr>
              <w:t>upload/list/delete and attach to Virtual Server</w:t>
            </w:r>
          </w:p>
        </w:tc>
      </w:tr>
      <w:tr>
        <w:tc>
          <w:tcPr>
            <w:tcW w:type="dxa" w:w="5112"/>
            <w:vAlign w:val="center"/>
          </w:tcPr>
          <w:p>
            <w:pPr>
              <w:spacing w:after="0"/>
            </w:pPr>
            <w:r/>
            <w:r>
              <w:rPr>
                <w:b w:val="0"/>
                <w:sz w:val="15"/>
              </w:rPr>
              <w:t>Backend identity</w:t>
            </w:r>
          </w:p>
        </w:tc>
        <w:tc>
          <w:tcPr>
            <w:tcW w:type="dxa" w:w="5112"/>
            <w:vAlign w:val="center"/>
          </w:tcPr>
          <w:p>
            <w:pPr>
              <w:spacing w:after="0"/>
            </w:pPr>
            <w:r/>
            <w:r>
              <w:rPr>
                <w:b w:val="0"/>
                <w:sz w:val="15"/>
              </w:rPr>
              <w:t>network port search by IP and compute/network APIs</w:t>
            </w:r>
          </w:p>
        </w:tc>
      </w:tr>
      <w:tr>
        <w:tc>
          <w:tcPr>
            <w:tcW w:type="dxa" w:w="5112"/>
            <w:vAlign w:val="center"/>
          </w:tcPr>
          <w:p>
            <w:pPr>
              <w:spacing w:after="0"/>
            </w:pPr>
            <w:r/>
            <w:r>
              <w:rPr>
                <w:b w:val="0"/>
                <w:sz w:val="15"/>
              </w:rPr>
              <w:t>Ownership lookup</w:t>
            </w:r>
          </w:p>
        </w:tc>
        <w:tc>
          <w:tcPr>
            <w:tcW w:type="dxa" w:w="5112"/>
            <w:vAlign w:val="center"/>
          </w:tcPr>
          <w:p>
            <w:pPr>
              <w:spacing w:after="0"/>
            </w:pPr>
            <w:r/>
            <w:r>
              <w:rPr>
                <w:b w:val="0"/>
                <w:sz w:val="15"/>
              </w:rPr>
              <w:t>labels and label-based LB lookup</w:t>
            </w:r>
          </w:p>
        </w:tc>
      </w:tr>
    </w:tbl>
    <w:p>
      <w:pPr>
        <w:spacing w:after="0"/>
      </w:pPr>
    </w:p>
    <w:p>
      <w:pPr>
        <w:pStyle w:val="Heading2"/>
      </w:pPr>
      <w:r>
        <w:t>2.3 Existing extension evidence retained</w:t>
      </w:r>
    </w:p>
    <w:p>
      <w:r>
        <w:t>Only provider-integration evidence is retained: organisation/project-scoped paths, Ce-Auth/HMAC and scoped headers, redirect suppression, TLS handling, request ID/error classification, Retry-After handling, rate limiting, and practical LB Service/VIP/Virtual Server calls. Raw JSON does not cross the new typed-client boundary.</w:t>
      </w:r>
    </w:p>
    <w:p>
      <w:pPr>
        <w:pStyle w:val="Heading1"/>
      </w:pPr>
      <w:r>
        <w:t>3. Target system boundary</w:t>
      </w:r>
    </w:p>
    <w:p>
      <w:r>
        <w:t>The application load-balancer controller is a managed Shoot component delivered by the Gardener extension lifecycle. The lifecycle actuator installs, upgrades, configures, and removes the controller. The application controller then reconciles Service and Ingress resources inside the Shoot.</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pPr>
              <w:spacing w:after="0"/>
            </w:pPr>
            <w:r/>
            <w:r>
              <w:rPr>
                <w:b/>
                <w:sz w:val="16"/>
              </w:rPr>
              <w:t>Plane</w:t>
            </w:r>
          </w:p>
        </w:tc>
        <w:tc>
          <w:tcPr>
            <w:tcW w:type="dxa" w:w="5112"/>
            <w:shd w:fill="D9EAF7"/>
            <w:vAlign w:val="center"/>
          </w:tcPr>
          <w:p>
            <w:pPr>
              <w:spacing w:after="0"/>
            </w:pPr>
            <w:r/>
            <w:r>
              <w:rPr>
                <w:b/>
                <w:sz w:val="16"/>
              </w:rPr>
              <w:t>Responsibility</w:t>
            </w:r>
          </w:p>
        </w:tc>
      </w:tr>
      <w:tr>
        <w:tc>
          <w:tcPr>
            <w:tcW w:type="dxa" w:w="5112"/>
            <w:vAlign w:val="center"/>
          </w:tcPr>
          <w:p>
            <w:pPr>
              <w:spacing w:after="0"/>
            </w:pPr>
            <w:r/>
            <w:r>
              <w:rPr>
                <w:b w:val="0"/>
                <w:sz w:val="15"/>
              </w:rPr>
              <w:t>Extension lifecycle plane</w:t>
            </w:r>
          </w:p>
        </w:tc>
        <w:tc>
          <w:tcPr>
            <w:tcW w:type="dxa" w:w="5112"/>
            <w:vAlign w:val="center"/>
          </w:tcPr>
          <w:p>
            <w:pPr>
              <w:spacing w:after="0"/>
            </w:pPr>
            <w:r/>
            <w:r>
              <w:rPr>
                <w:b w:val="0"/>
                <w:sz w:val="15"/>
              </w:rPr>
              <w:t>Deploy controller, provide configuration and credentials, upgrade and remove it.</w:t>
            </w:r>
          </w:p>
        </w:tc>
      </w:tr>
      <w:tr>
        <w:tc>
          <w:tcPr>
            <w:tcW w:type="dxa" w:w="5112"/>
            <w:vAlign w:val="center"/>
          </w:tcPr>
          <w:p>
            <w:pPr>
              <w:spacing w:after="0"/>
            </w:pPr>
            <w:r/>
            <w:r>
              <w:rPr>
                <w:b w:val="0"/>
                <w:sz w:val="15"/>
              </w:rPr>
              <w:t>Application load-balancing plane</w:t>
            </w:r>
          </w:p>
        </w:tc>
        <w:tc>
          <w:tcPr>
            <w:tcW w:type="dxa" w:w="5112"/>
            <w:vAlign w:val="center"/>
          </w:tcPr>
          <w:p>
            <w:pPr>
              <w:spacing w:after="0"/>
            </w:pPr>
            <w:r/>
            <w:r>
              <w:rPr>
                <w:b w:val="0"/>
                <w:sz w:val="15"/>
              </w:rPr>
              <w:t>Translate Shoot Service/Ingress state into CMP/F5 desired state and maintain it continuously.</w:t>
            </w:r>
          </w:p>
        </w:tc>
      </w:tr>
    </w:tbl>
    <w:p>
      <w:pPr>
        <w:spacing w:after="0"/>
      </w:pPr>
    </w:p>
    <w:p>
      <w:pPr>
        <w:pStyle w:val="Heading1"/>
      </w:pPr>
      <w:r>
        <w:t>4. Target architecture</w:t>
      </w:r>
    </w:p>
    <w:p>
      <w:pPr>
        <w:jc w:val="center"/>
      </w:pPr>
      <w:r>
        <w:drawing>
          <wp:inline xmlns:a="http://schemas.openxmlformats.org/drawingml/2006/main" xmlns:pic="http://schemas.openxmlformats.org/drawingml/2006/picture">
            <wp:extent cx="6309360" cy="6039729"/>
            <wp:docPr id="2" name="Picture 2"/>
            <wp:cNvGraphicFramePr>
              <a:graphicFrameLocks noChangeAspect="1"/>
            </wp:cNvGraphicFramePr>
            <a:graphic>
              <a:graphicData uri="http://schemas.openxmlformats.org/drawingml/2006/picture">
                <pic:pic>
                  <pic:nvPicPr>
                    <pic:cNvPr id="0" name="02_target_architecture.png"/>
                    <pic:cNvPicPr/>
                  </pic:nvPicPr>
                  <pic:blipFill>
                    <a:blip r:embed="rId12"/>
                    <a:stretch>
                      <a:fillRect/>
                    </a:stretch>
                  </pic:blipFill>
                  <pic:spPr>
                    <a:xfrm>
                      <a:off x="0" y="0"/>
                      <a:ext cx="6309360" cy="6039729"/>
                    </a:xfrm>
                    <a:prstGeom prst="rect"/>
                  </pic:spPr>
                </pic:pic>
              </a:graphicData>
            </a:graphic>
          </wp:inline>
        </w:drawing>
      </w:r>
    </w:p>
    <w:p>
      <w:pPr>
        <w:jc w:val="center"/>
      </w:pPr>
      <w:r>
        <w:rPr>
          <w:i/>
          <w:sz w:val="16"/>
        </w:rPr>
        <w:t>Figure 2 - Target component architecture</w:t>
      </w:r>
    </w:p>
    <w:p>
      <w:pPr>
        <w:pStyle w:val="Heading2"/>
      </w:pPr>
      <w:r>
        <w:t>4.1 Controller layer</w:t>
      </w:r>
    </w:p>
    <w:p>
      <w:r>
        <w:t>A Service Controller handles selected type=LoadBalancer Services. An Ingress Group Controller handles Ingresses selected by the F5 IngressClass. Controllers load objects, manage finalizers, call builders and deployers, publish status, and classify retries. They do not construct CMP requests.</w:t>
      </w:r>
    </w:p>
    <w:p>
      <w:pPr>
        <w:pStyle w:val="Heading2"/>
      </w:pPr>
      <w:r>
        <w:t>4.2 Model-building layer</w:t>
      </w:r>
    </w:p>
    <w:p>
      <w:r>
        <w:t>Service and Ingress builders convert Kubernetes resources and provider configuration into one typed internal Stack. They resolve backends through interfaces, validate feature combinations, generate logical IDs and ownership, and never mutate CMP.</w:t>
      </w:r>
    </w:p>
    <w:p>
      <w:pPr>
        <w:pStyle w:val="Heading2"/>
      </w:pPr>
      <w:r>
        <w:t>4.3 Internal desired-state stack</w:t>
      </w:r>
    </w:p>
    <w:p>
      <w:r>
        <w:t>The Stack contains typed LBService, VIP, VirtualServer, Pool, BackendMember, HealthMonitor, RoutingRule, and Certificate resources with stable logical IDs and references. It is rebuilt each reconciliation and is not stored in etcd.</w:t>
      </w:r>
    </w:p>
    <w:p>
      <w:pPr>
        <w:pStyle w:val="Heading2"/>
      </w:pPr>
      <w:r>
        <w:t>4.4 Deployment layer</w:t>
      </w:r>
    </w:p>
    <w:p>
      <w:r>
        <w:t>A Stack Deployer coordinates resource managers. Each manager discovers owned actual resources, normalizes desired and observed values, computes minimal changes, applies create/update/replace/delete operations, and returns observed readiness.</w:t>
      </w:r>
    </w:p>
    <w:p>
      <w:pPr>
        <w:pStyle w:val="Heading2"/>
      </w:pPr>
      <w:r>
        <w:t>4.5 Typed CMP clients</w:t>
      </w:r>
    </w:p>
    <w:p>
      <w:r>
        <w:t>LBaaS, Compute, and Network clients centralize transport, authentication, scoped headers, timeouts, rate limiting, error classification, request IDs, and typed encoding/decoding.</w:t>
      </w:r>
    </w:p>
    <w:p>
      <w:pPr>
        <w:pStyle w:val="Heading1"/>
      </w:pPr>
      <w:r>
        <w:t>5. CMP/F5 resource model</w:t>
      </w:r>
    </w:p>
    <w:p>
      <w:pPr>
        <w:jc w:val="center"/>
      </w:pPr>
      <w:r>
        <w:drawing>
          <wp:inline xmlns:a="http://schemas.openxmlformats.org/drawingml/2006/main" xmlns:pic="http://schemas.openxmlformats.org/drawingml/2006/picture">
            <wp:extent cx="5852160" cy="4105743"/>
            <wp:docPr id="3" name="Picture 3"/>
            <wp:cNvGraphicFramePr>
              <a:graphicFrameLocks noChangeAspect="1"/>
            </wp:cNvGraphicFramePr>
            <a:graphic>
              <a:graphicData uri="http://schemas.openxmlformats.org/drawingml/2006/picture">
                <pic:pic>
                  <pic:nvPicPr>
                    <pic:cNvPr id="0" name="03_cmp_resource_graph.png"/>
                    <pic:cNvPicPr/>
                  </pic:nvPicPr>
                  <pic:blipFill>
                    <a:blip r:embed="rId13"/>
                    <a:stretch>
                      <a:fillRect/>
                    </a:stretch>
                  </pic:blipFill>
                  <pic:spPr>
                    <a:xfrm>
                      <a:off x="0" y="0"/>
                      <a:ext cx="5852160" cy="4105743"/>
                    </a:xfrm>
                    <a:prstGeom prst="rect"/>
                  </pic:spPr>
                </pic:pic>
              </a:graphicData>
            </a:graphic>
          </wp:inline>
        </w:drawing>
      </w:r>
    </w:p>
    <w:p>
      <w:pPr>
        <w:jc w:val="center"/>
      </w:pPr>
      <w:r>
        <w:rPr>
          <w:i/>
          <w:sz w:val="16"/>
        </w:rPr>
        <w:t>Figure 3 - CMP/F5 resource graph for application load balancing</w:t>
      </w:r>
    </w:p>
    <w:p>
      <w:pPr>
        <w:pStyle w:val="Heading2"/>
      </w:pPr>
      <w:r>
        <w:t>5.1 Why the LB Service is mandatory</w:t>
      </w:r>
    </w:p>
    <w:p>
      <w:r>
        <w:t>The LB Service is the parent CMP resource for both Service and Ingress flows. It owns the VIP and Virtual Servers. A routing-only diagram that starts at a host name omits the provider container and must not be treated as the actual resource hierarchy.</w:t>
      </w:r>
    </w:p>
    <w:p>
      <w:pPr>
        <w:pStyle w:val="CodeBlock"/>
        <w:shd w:fill="F3F5F7"/>
      </w:pPr>
      <w:r>
        <w:t>Service -&gt; LB Service -&gt; VIP -&gt; Virtual Server(s) -&gt; Pool(s) -&gt; Members</w:t>
        <w:br/>
        <w:t>Ingress Group -&gt; LB Service -&gt; VIP -&gt; HTTP/HTTPS Virtual Server(s)</w:t>
        <w:br/>
        <w:t xml:space="preserve">                                  -&gt; Pools + Routing Rules + Certificates</w:t>
      </w:r>
    </w:p>
    <w:p>
      <w:pPr>
        <w:pStyle w:val="Heading2"/>
      </w:pPr>
      <w:r>
        <w:t>5.2 Logical relationship rules</w:t>
      </w:r>
    </w:p>
    <w:p>
      <w:pPr>
        <w:pStyle w:val="ListBullet"/>
      </w:pPr>
      <w:r>
        <w:t>Initial release uses one VIP per Service stack or Ingress group stack.</w:t>
      </w:r>
    </w:p>
    <w:p>
      <w:pPr>
        <w:pStyle w:val="ListBullet"/>
      </w:pPr>
      <w:r>
        <w:t>Multiple Virtual Servers may share the VIP when protocol/port tuples are distinct.</w:t>
      </w:r>
    </w:p>
    <w:p>
      <w:pPr>
        <w:pStyle w:val="ListBullet"/>
      </w:pPr>
      <w:r>
        <w:t>A Virtual Server has one default pool and may have additional route-specific pools.</w:t>
      </w:r>
    </w:p>
    <w:p>
      <w:pPr>
        <w:pStyle w:val="ListBullet"/>
      </w:pPr>
      <w:r>
        <w:t>Routing rules select pools by host/path/match type.</w:t>
      </w:r>
    </w:p>
    <w:p>
      <w:pPr>
        <w:pStyle w:val="ListBullet"/>
      </w:pPr>
      <w:r>
        <w:t>Pools own members and health monitors.</w:t>
      </w:r>
    </w:p>
    <w:p>
      <w:pPr>
        <w:pStyle w:val="ListBullet"/>
      </w:pPr>
      <w:r>
        <w:t>Certificates are uploaded under the LB Service and attached to HTTPS Virtual Servers.</w:t>
      </w:r>
    </w:p>
    <w:p>
      <w:pPr>
        <w:pStyle w:val="Heading1"/>
      </w:pPr>
      <w:r>
        <w:t>6. Kubernetes-to-CMP mapping</w:t>
      </w:r>
    </w:p>
    <w:p>
      <w:pPr>
        <w:pStyle w:val="Heading2"/>
      </w:pPr>
      <w:r>
        <w:t>6.1 Service type LoadBalancer</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pPr>
              <w:spacing w:after="0"/>
            </w:pPr>
            <w:r/>
            <w:r>
              <w:rPr>
                <w:b/>
                <w:sz w:val="16"/>
              </w:rPr>
              <w:t>Kubernetes input</w:t>
            </w:r>
          </w:p>
        </w:tc>
        <w:tc>
          <w:tcPr>
            <w:tcW w:type="dxa" w:w="3408"/>
            <w:shd w:fill="D9EAF7"/>
            <w:vAlign w:val="center"/>
          </w:tcPr>
          <w:p>
            <w:pPr>
              <w:spacing w:after="0"/>
            </w:pPr>
            <w:r/>
            <w:r>
              <w:rPr>
                <w:b/>
                <w:sz w:val="16"/>
              </w:rPr>
              <w:t>Internal model</w:t>
            </w:r>
          </w:p>
        </w:tc>
        <w:tc>
          <w:tcPr>
            <w:tcW w:type="dxa" w:w="3408"/>
            <w:shd w:fill="D9EAF7"/>
            <w:vAlign w:val="center"/>
          </w:tcPr>
          <w:p>
            <w:pPr>
              <w:spacing w:after="0"/>
            </w:pPr>
            <w:r/>
            <w:r>
              <w:rPr>
                <w:b/>
                <w:sz w:val="16"/>
              </w:rPr>
              <w:t>CMP/F5 resource</w:t>
            </w:r>
          </w:p>
        </w:tc>
      </w:tr>
      <w:tr>
        <w:tc>
          <w:tcPr>
            <w:tcW w:type="dxa" w:w="3408"/>
            <w:vAlign w:val="center"/>
          </w:tcPr>
          <w:p>
            <w:pPr>
              <w:spacing w:after="0"/>
            </w:pPr>
            <w:r/>
            <w:r>
              <w:rPr>
                <w:b w:val="0"/>
                <w:sz w:val="15"/>
              </w:rPr>
              <w:t>Service UID</w:t>
            </w:r>
          </w:p>
        </w:tc>
        <w:tc>
          <w:tcPr>
            <w:tcW w:type="dxa" w:w="3408"/>
            <w:vAlign w:val="center"/>
          </w:tcPr>
          <w:p>
            <w:pPr>
              <w:spacing w:after="0"/>
            </w:pPr>
            <w:r/>
            <w:r>
              <w:rPr>
                <w:b w:val="0"/>
                <w:sz w:val="15"/>
              </w:rPr>
              <w:t>stack ownership root</w:t>
            </w:r>
          </w:p>
        </w:tc>
        <w:tc>
          <w:tcPr>
            <w:tcW w:type="dxa" w:w="3408"/>
            <w:vAlign w:val="center"/>
          </w:tcPr>
          <w:p>
            <w:pPr>
              <w:spacing w:after="0"/>
            </w:pPr>
            <w:r/>
            <w:r>
              <w:rPr>
                <w:b w:val="0"/>
                <w:sz w:val="15"/>
              </w:rPr>
              <w:t>labels/name on all resources</w:t>
            </w:r>
          </w:p>
        </w:tc>
      </w:tr>
      <w:tr>
        <w:tc>
          <w:tcPr>
            <w:tcW w:type="dxa" w:w="3408"/>
            <w:vAlign w:val="center"/>
          </w:tcPr>
          <w:p>
            <w:pPr>
              <w:spacing w:after="0"/>
            </w:pPr>
            <w:r/>
            <w:r>
              <w:rPr>
                <w:b w:val="0"/>
                <w:sz w:val="15"/>
              </w:rPr>
              <w:t>Service port</w:t>
            </w:r>
          </w:p>
        </w:tc>
        <w:tc>
          <w:tcPr>
            <w:tcW w:type="dxa" w:w="3408"/>
            <w:vAlign w:val="center"/>
          </w:tcPr>
          <w:p>
            <w:pPr>
              <w:spacing w:after="0"/>
            </w:pPr>
            <w:r/>
            <w:r>
              <w:rPr>
                <w:b w:val="0"/>
                <w:sz w:val="15"/>
              </w:rPr>
              <w:t>frontend</w:t>
            </w:r>
          </w:p>
        </w:tc>
        <w:tc>
          <w:tcPr>
            <w:tcW w:type="dxa" w:w="3408"/>
            <w:vAlign w:val="center"/>
          </w:tcPr>
          <w:p>
            <w:pPr>
              <w:spacing w:after="0"/>
            </w:pPr>
            <w:r/>
            <w:r>
              <w:rPr>
                <w:b w:val="0"/>
                <w:sz w:val="15"/>
              </w:rPr>
              <w:t>Virtual Server</w:t>
            </w:r>
          </w:p>
        </w:tc>
      </w:tr>
      <w:tr>
        <w:tc>
          <w:tcPr>
            <w:tcW w:type="dxa" w:w="3408"/>
            <w:vAlign w:val="center"/>
          </w:tcPr>
          <w:p>
            <w:pPr>
              <w:spacing w:after="0"/>
            </w:pPr>
            <w:r/>
            <w:r>
              <w:rPr>
                <w:b w:val="0"/>
                <w:sz w:val="15"/>
              </w:rPr>
              <w:t>Service protocol</w:t>
            </w:r>
          </w:p>
        </w:tc>
        <w:tc>
          <w:tcPr>
            <w:tcW w:type="dxa" w:w="3408"/>
            <w:vAlign w:val="center"/>
          </w:tcPr>
          <w:p>
            <w:pPr>
              <w:spacing w:after="0"/>
            </w:pPr>
            <w:r/>
            <w:r>
              <w:rPr>
                <w:b w:val="0"/>
                <w:sz w:val="15"/>
              </w:rPr>
              <w:t>frontend protocol</w:t>
            </w:r>
          </w:p>
        </w:tc>
        <w:tc>
          <w:tcPr>
            <w:tcW w:type="dxa" w:w="3408"/>
            <w:vAlign w:val="center"/>
          </w:tcPr>
          <w:p>
            <w:pPr>
              <w:spacing w:after="0"/>
            </w:pPr>
            <w:r/>
            <w:r>
              <w:rPr>
                <w:b w:val="0"/>
                <w:sz w:val="15"/>
              </w:rPr>
              <w:t>Virtual Server protocol</w:t>
            </w:r>
          </w:p>
        </w:tc>
      </w:tr>
      <w:tr>
        <w:tc>
          <w:tcPr>
            <w:tcW w:type="dxa" w:w="3408"/>
            <w:vAlign w:val="center"/>
          </w:tcPr>
          <w:p>
            <w:pPr>
              <w:spacing w:after="0"/>
            </w:pPr>
            <w:r/>
            <w:r>
              <w:rPr>
                <w:b w:val="0"/>
                <w:sz w:val="15"/>
              </w:rPr>
              <w:t>Service NodePort</w:t>
            </w:r>
          </w:p>
        </w:tc>
        <w:tc>
          <w:tcPr>
            <w:tcW w:type="dxa" w:w="3408"/>
            <w:vAlign w:val="center"/>
          </w:tcPr>
          <w:p>
            <w:pPr>
              <w:spacing w:after="0"/>
            </w:pPr>
            <w:r/>
            <w:r>
              <w:rPr>
                <w:b w:val="0"/>
                <w:sz w:val="15"/>
              </w:rPr>
              <w:t>target port</w:t>
            </w:r>
          </w:p>
        </w:tc>
        <w:tc>
          <w:tcPr>
            <w:tcW w:type="dxa" w:w="3408"/>
            <w:vAlign w:val="center"/>
          </w:tcPr>
          <w:p>
            <w:pPr>
              <w:spacing w:after="0"/>
            </w:pPr>
            <w:r/>
            <w:r>
              <w:rPr>
                <w:b w:val="0"/>
                <w:sz w:val="15"/>
              </w:rPr>
              <w:t>member port</w:t>
            </w:r>
          </w:p>
        </w:tc>
      </w:tr>
      <w:tr>
        <w:tc>
          <w:tcPr>
            <w:tcW w:type="dxa" w:w="3408"/>
            <w:vAlign w:val="center"/>
          </w:tcPr>
          <w:p>
            <w:pPr>
              <w:spacing w:after="0"/>
            </w:pPr>
            <w:r/>
            <w:r>
              <w:rPr>
                <w:b w:val="0"/>
                <w:sz w:val="15"/>
              </w:rPr>
              <w:t>eligible Node</w:t>
            </w:r>
          </w:p>
        </w:tc>
        <w:tc>
          <w:tcPr>
            <w:tcW w:type="dxa" w:w="3408"/>
            <w:vAlign w:val="center"/>
          </w:tcPr>
          <w:p>
            <w:pPr>
              <w:spacing w:after="0"/>
            </w:pPr>
            <w:r/>
            <w:r>
              <w:rPr>
                <w:b w:val="0"/>
                <w:sz w:val="15"/>
              </w:rPr>
              <w:t>backend target</w:t>
            </w:r>
          </w:p>
        </w:tc>
        <w:tc>
          <w:tcPr>
            <w:tcW w:type="dxa" w:w="3408"/>
            <w:vAlign w:val="center"/>
          </w:tcPr>
          <w:p>
            <w:pPr>
              <w:spacing w:after="0"/>
            </w:pPr>
            <w:r/>
            <w:r>
              <w:rPr>
                <w:b w:val="0"/>
                <w:sz w:val="15"/>
              </w:rPr>
              <w:t>Pool Member</w:t>
            </w:r>
          </w:p>
        </w:tc>
      </w:tr>
      <w:tr>
        <w:tc>
          <w:tcPr>
            <w:tcW w:type="dxa" w:w="3408"/>
            <w:vAlign w:val="center"/>
          </w:tcPr>
          <w:p>
            <w:pPr>
              <w:spacing w:after="0"/>
            </w:pPr>
            <w:r/>
            <w:r>
              <w:rPr>
                <w:b w:val="0"/>
                <w:sz w:val="15"/>
              </w:rPr>
              <w:t>Node InternalIP</w:t>
            </w:r>
          </w:p>
        </w:tc>
        <w:tc>
          <w:tcPr>
            <w:tcW w:type="dxa" w:w="3408"/>
            <w:vAlign w:val="center"/>
          </w:tcPr>
          <w:p>
            <w:pPr>
              <w:spacing w:after="0"/>
            </w:pPr>
            <w:r/>
            <w:r>
              <w:rPr>
                <w:b w:val="0"/>
                <w:sz w:val="15"/>
              </w:rPr>
              <w:t>target address</w:t>
            </w:r>
          </w:p>
        </w:tc>
        <w:tc>
          <w:tcPr>
            <w:tcW w:type="dxa" w:w="3408"/>
            <w:vAlign w:val="center"/>
          </w:tcPr>
          <w:p>
            <w:pPr>
              <w:spacing w:after="0"/>
            </w:pPr>
            <w:r/>
            <w:r>
              <w:rPr>
                <w:b w:val="0"/>
                <w:sz w:val="15"/>
              </w:rPr>
              <w:t>resource_ip/address</w:t>
            </w:r>
          </w:p>
        </w:tc>
      </w:tr>
      <w:tr>
        <w:tc>
          <w:tcPr>
            <w:tcW w:type="dxa" w:w="3408"/>
            <w:vAlign w:val="center"/>
          </w:tcPr>
          <w:p>
            <w:pPr>
              <w:spacing w:after="0"/>
            </w:pPr>
            <w:r/>
            <w:r>
              <w:rPr>
                <w:b w:val="0"/>
                <w:sz w:val="15"/>
              </w:rPr>
              <w:t>CMP compute identity</w:t>
            </w:r>
          </w:p>
        </w:tc>
        <w:tc>
          <w:tcPr>
            <w:tcW w:type="dxa" w:w="3408"/>
            <w:vAlign w:val="center"/>
          </w:tcPr>
          <w:p>
            <w:pPr>
              <w:spacing w:after="0"/>
            </w:pPr>
            <w:r/>
            <w:r>
              <w:rPr>
                <w:b w:val="0"/>
                <w:sz w:val="15"/>
              </w:rPr>
              <w:t>provider target identity</w:t>
            </w:r>
          </w:p>
        </w:tc>
        <w:tc>
          <w:tcPr>
            <w:tcW w:type="dxa" w:w="3408"/>
            <w:vAlign w:val="center"/>
          </w:tcPr>
          <w:p>
            <w:pPr>
              <w:spacing w:after="0"/>
            </w:pPr>
            <w:r/>
            <w:r>
              <w:rPr>
                <w:b w:val="0"/>
                <w:sz w:val="15"/>
              </w:rPr>
              <w:t>resource_id/compute ID</w:t>
            </w:r>
          </w:p>
        </w:tc>
      </w:tr>
      <w:tr>
        <w:tc>
          <w:tcPr>
            <w:tcW w:type="dxa" w:w="3408"/>
            <w:vAlign w:val="center"/>
          </w:tcPr>
          <w:p>
            <w:pPr>
              <w:spacing w:after="0"/>
            </w:pPr>
            <w:r/>
            <w:r>
              <w:rPr>
                <w:b w:val="0"/>
                <w:sz w:val="15"/>
              </w:rPr>
              <w:t>CMP port found by IP</w:t>
            </w:r>
          </w:p>
        </w:tc>
        <w:tc>
          <w:tcPr>
            <w:tcW w:type="dxa" w:w="3408"/>
            <w:vAlign w:val="center"/>
          </w:tcPr>
          <w:p>
            <w:pPr>
              <w:spacing w:after="0"/>
            </w:pPr>
            <w:r/>
            <w:r>
              <w:rPr>
                <w:b w:val="0"/>
                <w:sz w:val="15"/>
              </w:rPr>
              <w:t>network identity</w:t>
            </w:r>
          </w:p>
        </w:tc>
        <w:tc>
          <w:tcPr>
            <w:tcW w:type="dxa" w:w="3408"/>
            <w:vAlign w:val="center"/>
          </w:tcPr>
          <w:p>
            <w:pPr>
              <w:spacing w:after="0"/>
            </w:pPr>
            <w:r/>
            <w:r>
              <w:rPr>
                <w:b w:val="0"/>
                <w:sz w:val="15"/>
              </w:rPr>
              <w:t>backend_port_id/port ID</w:t>
            </w:r>
          </w:p>
        </w:tc>
      </w:tr>
      <w:tr>
        <w:tc>
          <w:tcPr>
            <w:tcW w:type="dxa" w:w="3408"/>
            <w:vAlign w:val="center"/>
          </w:tcPr>
          <w:p>
            <w:pPr>
              <w:spacing w:after="0"/>
            </w:pPr>
            <w:r/>
            <w:r>
              <w:rPr>
                <w:b w:val="0"/>
                <w:sz w:val="15"/>
              </w:rPr>
              <w:t>health configuration</w:t>
            </w:r>
          </w:p>
        </w:tc>
        <w:tc>
          <w:tcPr>
            <w:tcW w:type="dxa" w:w="3408"/>
            <w:vAlign w:val="center"/>
          </w:tcPr>
          <w:p>
            <w:pPr>
              <w:spacing w:after="0"/>
            </w:pPr>
            <w:r/>
            <w:r>
              <w:rPr>
                <w:b w:val="0"/>
                <w:sz w:val="15"/>
              </w:rPr>
              <w:t>monitor spec</w:t>
            </w:r>
          </w:p>
        </w:tc>
        <w:tc>
          <w:tcPr>
            <w:tcW w:type="dxa" w:w="3408"/>
            <w:vAlign w:val="center"/>
          </w:tcPr>
          <w:p>
            <w:pPr>
              <w:spacing w:after="0"/>
            </w:pPr>
            <w:r/>
            <w:r>
              <w:rPr>
                <w:b w:val="0"/>
                <w:sz w:val="15"/>
              </w:rPr>
              <w:t>Health Monitor</w:t>
            </w:r>
          </w:p>
        </w:tc>
      </w:tr>
      <w:tr>
        <w:tc>
          <w:tcPr>
            <w:tcW w:type="dxa" w:w="3408"/>
            <w:vAlign w:val="center"/>
          </w:tcPr>
          <w:p>
            <w:pPr>
              <w:spacing w:after="0"/>
            </w:pPr>
            <w:r/>
            <w:r>
              <w:rPr>
                <w:b w:val="0"/>
                <w:sz w:val="15"/>
              </w:rPr>
              <w:t>allocated VIP</w:t>
            </w:r>
          </w:p>
        </w:tc>
        <w:tc>
          <w:tcPr>
            <w:tcW w:type="dxa" w:w="3408"/>
            <w:vAlign w:val="center"/>
          </w:tcPr>
          <w:p>
            <w:pPr>
              <w:spacing w:after="0"/>
            </w:pPr>
            <w:r/>
            <w:r>
              <w:rPr>
                <w:b w:val="0"/>
                <w:sz w:val="15"/>
              </w:rPr>
              <w:t>observed frontend</w:t>
            </w:r>
          </w:p>
        </w:tc>
        <w:tc>
          <w:tcPr>
            <w:tcW w:type="dxa" w:w="3408"/>
            <w:vAlign w:val="center"/>
          </w:tcPr>
          <w:p>
            <w:pPr>
              <w:spacing w:after="0"/>
            </w:pPr>
            <w:r/>
            <w:r>
              <w:rPr>
                <w:b w:val="0"/>
                <w:sz w:val="15"/>
              </w:rPr>
              <w:t>Service status</w:t>
            </w:r>
          </w:p>
        </w:tc>
      </w:tr>
    </w:tbl>
    <w:p>
      <w:pPr>
        <w:spacing w:after="0"/>
      </w:pPr>
    </w:p>
    <w:p>
      <w:pPr>
        <w:pStyle w:val="Heading2"/>
      </w:pPr>
      <w:r>
        <w:t>6.2 Ingress</w:t>
      </w:r>
    </w:p>
    <w:p>
      <w:pPr>
        <w:jc w:val="center"/>
      </w:pPr>
      <w:r>
        <w:drawing>
          <wp:inline xmlns:a="http://schemas.openxmlformats.org/drawingml/2006/main" xmlns:pic="http://schemas.openxmlformats.org/drawingml/2006/picture">
            <wp:extent cx="6217920" cy="749997"/>
            <wp:docPr id="4" name="Picture 4"/>
            <wp:cNvGraphicFramePr>
              <a:graphicFrameLocks noChangeAspect="1"/>
            </wp:cNvGraphicFramePr>
            <a:graphic>
              <a:graphicData uri="http://schemas.openxmlformats.org/drawingml/2006/picture">
                <pic:pic>
                  <pic:nvPicPr>
                    <pic:cNvPr id="0" name="05_ingress_mapping.png"/>
                    <pic:cNvPicPr/>
                  </pic:nvPicPr>
                  <pic:blipFill>
                    <a:blip r:embed="rId14"/>
                    <a:stretch>
                      <a:fillRect/>
                    </a:stretch>
                  </pic:blipFill>
                  <pic:spPr>
                    <a:xfrm>
                      <a:off x="0" y="0"/>
                      <a:ext cx="6217920" cy="749997"/>
                    </a:xfrm>
                    <a:prstGeom prst="rect"/>
                  </pic:spPr>
                </pic:pic>
              </a:graphicData>
            </a:graphic>
          </wp:inline>
        </w:drawing>
      </w:r>
    </w:p>
    <w:p>
      <w:pPr>
        <w:jc w:val="center"/>
      </w:pPr>
      <w:r>
        <w:rPr>
          <w:i/>
          <w:sz w:val="16"/>
        </w:rPr>
        <w:t>Figure 4 - Ingress to CMP/F5 mapping (including LB Service)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pPr>
              <w:spacing w:after="0"/>
            </w:pPr>
            <w:r/>
            <w:r>
              <w:rPr>
                <w:b/>
                <w:sz w:val="16"/>
              </w:rPr>
              <w:t>Kubernetes input</w:t>
            </w:r>
          </w:p>
        </w:tc>
        <w:tc>
          <w:tcPr>
            <w:tcW w:type="dxa" w:w="3408"/>
            <w:shd w:fill="D9EAF7"/>
            <w:vAlign w:val="center"/>
          </w:tcPr>
          <w:p>
            <w:pPr>
              <w:spacing w:after="0"/>
            </w:pPr>
            <w:r/>
            <w:r>
              <w:rPr>
                <w:b/>
                <w:sz w:val="16"/>
              </w:rPr>
              <w:t>Internal model</w:t>
            </w:r>
          </w:p>
        </w:tc>
        <w:tc>
          <w:tcPr>
            <w:tcW w:type="dxa" w:w="3408"/>
            <w:shd w:fill="D9EAF7"/>
            <w:vAlign w:val="center"/>
          </w:tcPr>
          <w:p>
            <w:pPr>
              <w:spacing w:after="0"/>
            </w:pPr>
            <w:r/>
            <w:r>
              <w:rPr>
                <w:b/>
                <w:sz w:val="16"/>
              </w:rPr>
              <w:t>CMP/F5 resource</w:t>
            </w:r>
          </w:p>
        </w:tc>
      </w:tr>
      <w:tr>
        <w:tc>
          <w:tcPr>
            <w:tcW w:type="dxa" w:w="3408"/>
            <w:vAlign w:val="center"/>
          </w:tcPr>
          <w:p>
            <w:pPr>
              <w:spacing w:after="0"/>
            </w:pPr>
            <w:r/>
            <w:r>
              <w:rPr>
                <w:b w:val="0"/>
                <w:sz w:val="15"/>
              </w:rPr>
              <w:t>Ingress group</w:t>
            </w:r>
          </w:p>
        </w:tc>
        <w:tc>
          <w:tcPr>
            <w:tcW w:type="dxa" w:w="3408"/>
            <w:vAlign w:val="center"/>
          </w:tcPr>
          <w:p>
            <w:pPr>
              <w:spacing w:after="0"/>
            </w:pPr>
            <w:r/>
            <w:r>
              <w:rPr>
                <w:b w:val="0"/>
                <w:sz w:val="15"/>
              </w:rPr>
              <w:t>shared stack root</w:t>
            </w:r>
          </w:p>
        </w:tc>
        <w:tc>
          <w:tcPr>
            <w:tcW w:type="dxa" w:w="3408"/>
            <w:vAlign w:val="center"/>
          </w:tcPr>
          <w:p>
            <w:pPr>
              <w:spacing w:after="0"/>
            </w:pPr>
            <w:r/>
            <w:r>
              <w:rPr>
                <w:b w:val="0"/>
                <w:sz w:val="15"/>
              </w:rPr>
              <w:t>LB Service + VIP</w:t>
            </w:r>
          </w:p>
        </w:tc>
      </w:tr>
      <w:tr>
        <w:tc>
          <w:tcPr>
            <w:tcW w:type="dxa" w:w="3408"/>
            <w:vAlign w:val="center"/>
          </w:tcPr>
          <w:p>
            <w:pPr>
              <w:spacing w:after="0"/>
            </w:pPr>
            <w:r/>
            <w:r>
              <w:rPr>
                <w:b w:val="0"/>
                <w:sz w:val="15"/>
              </w:rPr>
              <w:t>HTTP/HTTPS listener</w:t>
            </w:r>
          </w:p>
        </w:tc>
        <w:tc>
          <w:tcPr>
            <w:tcW w:type="dxa" w:w="3408"/>
            <w:vAlign w:val="center"/>
          </w:tcPr>
          <w:p>
            <w:pPr>
              <w:spacing w:after="0"/>
            </w:pPr>
            <w:r/>
            <w:r>
              <w:rPr>
                <w:b w:val="0"/>
                <w:sz w:val="15"/>
              </w:rPr>
              <w:t>frontend</w:t>
            </w:r>
          </w:p>
        </w:tc>
        <w:tc>
          <w:tcPr>
            <w:tcW w:type="dxa" w:w="3408"/>
            <w:vAlign w:val="center"/>
          </w:tcPr>
          <w:p>
            <w:pPr>
              <w:spacing w:after="0"/>
            </w:pPr>
            <w:r/>
            <w:r>
              <w:rPr>
                <w:b w:val="0"/>
                <w:sz w:val="15"/>
              </w:rPr>
              <w:t>Virtual Server</w:t>
            </w:r>
          </w:p>
        </w:tc>
      </w:tr>
      <w:tr>
        <w:tc>
          <w:tcPr>
            <w:tcW w:type="dxa" w:w="3408"/>
            <w:vAlign w:val="center"/>
          </w:tcPr>
          <w:p>
            <w:pPr>
              <w:spacing w:after="0"/>
            </w:pPr>
            <w:r/>
            <w:r>
              <w:rPr>
                <w:b w:val="0"/>
                <w:sz w:val="15"/>
              </w:rPr>
              <w:t>host/path</w:t>
            </w:r>
          </w:p>
        </w:tc>
        <w:tc>
          <w:tcPr>
            <w:tcW w:type="dxa" w:w="3408"/>
            <w:vAlign w:val="center"/>
          </w:tcPr>
          <w:p>
            <w:pPr>
              <w:spacing w:after="0"/>
            </w:pPr>
            <w:r/>
            <w:r>
              <w:rPr>
                <w:b w:val="0"/>
                <w:sz w:val="15"/>
              </w:rPr>
              <w:t>route</w:t>
            </w:r>
          </w:p>
        </w:tc>
        <w:tc>
          <w:tcPr>
            <w:tcW w:type="dxa" w:w="3408"/>
            <w:vAlign w:val="center"/>
          </w:tcPr>
          <w:p>
            <w:pPr>
              <w:spacing w:after="0"/>
            </w:pPr>
            <w:r/>
            <w:r>
              <w:rPr>
                <w:b w:val="0"/>
                <w:sz w:val="15"/>
              </w:rPr>
              <w:t>Routing Rule</w:t>
            </w:r>
          </w:p>
        </w:tc>
      </w:tr>
      <w:tr>
        <w:tc>
          <w:tcPr>
            <w:tcW w:type="dxa" w:w="3408"/>
            <w:vAlign w:val="center"/>
          </w:tcPr>
          <w:p>
            <w:pPr>
              <w:spacing w:after="0"/>
            </w:pPr>
            <w:r/>
            <w:r>
              <w:rPr>
                <w:b w:val="0"/>
                <w:sz w:val="15"/>
              </w:rPr>
              <w:t>backend Service/port</w:t>
            </w:r>
          </w:p>
        </w:tc>
        <w:tc>
          <w:tcPr>
            <w:tcW w:type="dxa" w:w="3408"/>
            <w:vAlign w:val="center"/>
          </w:tcPr>
          <w:p>
            <w:pPr>
              <w:spacing w:after="0"/>
            </w:pPr>
            <w:r/>
            <w:r>
              <w:rPr>
                <w:b w:val="0"/>
                <w:sz w:val="15"/>
              </w:rPr>
              <w:t>backend group</w:t>
            </w:r>
          </w:p>
        </w:tc>
        <w:tc>
          <w:tcPr>
            <w:tcW w:type="dxa" w:w="3408"/>
            <w:vAlign w:val="center"/>
          </w:tcPr>
          <w:p>
            <w:pPr>
              <w:spacing w:after="0"/>
            </w:pPr>
            <w:r/>
            <w:r>
              <w:rPr>
                <w:b w:val="0"/>
                <w:sz w:val="15"/>
              </w:rPr>
              <w:t>Pool</w:t>
            </w:r>
          </w:p>
        </w:tc>
      </w:tr>
      <w:tr>
        <w:tc>
          <w:tcPr>
            <w:tcW w:type="dxa" w:w="3408"/>
            <w:vAlign w:val="center"/>
          </w:tcPr>
          <w:p>
            <w:pPr>
              <w:spacing w:after="0"/>
            </w:pPr>
            <w:r/>
            <w:r>
              <w:rPr>
                <w:b w:val="0"/>
                <w:sz w:val="15"/>
              </w:rPr>
              <w:t>default backend</w:t>
            </w:r>
          </w:p>
        </w:tc>
        <w:tc>
          <w:tcPr>
            <w:tcW w:type="dxa" w:w="3408"/>
            <w:vAlign w:val="center"/>
          </w:tcPr>
          <w:p>
            <w:pPr>
              <w:spacing w:after="0"/>
            </w:pPr>
            <w:r/>
            <w:r>
              <w:rPr>
                <w:b w:val="0"/>
                <w:sz w:val="15"/>
              </w:rPr>
              <w:t>default route</w:t>
            </w:r>
          </w:p>
        </w:tc>
        <w:tc>
          <w:tcPr>
            <w:tcW w:type="dxa" w:w="3408"/>
            <w:vAlign w:val="center"/>
          </w:tcPr>
          <w:p>
            <w:pPr>
              <w:spacing w:after="0"/>
            </w:pPr>
            <w:r/>
            <w:r>
              <w:rPr>
                <w:b w:val="0"/>
                <w:sz w:val="15"/>
              </w:rPr>
              <w:t>default Pool</w:t>
            </w:r>
          </w:p>
        </w:tc>
      </w:tr>
      <w:tr>
        <w:tc>
          <w:tcPr>
            <w:tcW w:type="dxa" w:w="3408"/>
            <w:vAlign w:val="center"/>
          </w:tcPr>
          <w:p>
            <w:pPr>
              <w:spacing w:after="0"/>
            </w:pPr>
            <w:r/>
            <w:r>
              <w:rPr>
                <w:b w:val="0"/>
                <w:sz w:val="15"/>
              </w:rPr>
              <w:t>TLS Secret</w:t>
            </w:r>
          </w:p>
        </w:tc>
        <w:tc>
          <w:tcPr>
            <w:tcW w:type="dxa" w:w="3408"/>
            <w:vAlign w:val="center"/>
          </w:tcPr>
          <w:p>
            <w:pPr>
              <w:spacing w:after="0"/>
            </w:pPr>
            <w:r/>
            <w:r>
              <w:rPr>
                <w:b w:val="0"/>
                <w:sz w:val="15"/>
              </w:rPr>
              <w:t>certificate model</w:t>
            </w:r>
          </w:p>
        </w:tc>
        <w:tc>
          <w:tcPr>
            <w:tcW w:type="dxa" w:w="3408"/>
            <w:vAlign w:val="center"/>
          </w:tcPr>
          <w:p>
            <w:pPr>
              <w:spacing w:after="0"/>
            </w:pPr>
            <w:r/>
            <w:r>
              <w:rPr>
                <w:b w:val="0"/>
                <w:sz w:val="15"/>
              </w:rPr>
              <w:t>CMP Certificate + attachment</w:t>
            </w:r>
          </w:p>
        </w:tc>
      </w:tr>
      <w:tr>
        <w:tc>
          <w:tcPr>
            <w:tcW w:type="dxa" w:w="3408"/>
            <w:vAlign w:val="center"/>
          </w:tcPr>
          <w:p>
            <w:pPr>
              <w:spacing w:after="0"/>
            </w:pPr>
            <w:r/>
            <w:r>
              <w:rPr>
                <w:b w:val="0"/>
                <w:sz w:val="15"/>
              </w:rPr>
              <w:t>eligible Nodes</w:t>
            </w:r>
          </w:p>
        </w:tc>
        <w:tc>
          <w:tcPr>
            <w:tcW w:type="dxa" w:w="3408"/>
            <w:vAlign w:val="center"/>
          </w:tcPr>
          <w:p>
            <w:pPr>
              <w:spacing w:after="0"/>
            </w:pPr>
            <w:r/>
            <w:r>
              <w:rPr>
                <w:b w:val="0"/>
                <w:sz w:val="15"/>
              </w:rPr>
              <w:t>targets</w:t>
            </w:r>
          </w:p>
        </w:tc>
        <w:tc>
          <w:tcPr>
            <w:tcW w:type="dxa" w:w="3408"/>
            <w:vAlign w:val="center"/>
          </w:tcPr>
          <w:p>
            <w:pPr>
              <w:spacing w:after="0"/>
            </w:pPr>
            <w:r/>
            <w:r>
              <w:rPr>
                <w:b w:val="0"/>
                <w:sz w:val="15"/>
              </w:rPr>
              <w:t>Pool Members</w:t>
            </w:r>
          </w:p>
        </w:tc>
      </w:tr>
    </w:tbl>
    <w:p>
      <w:pPr>
        <w:spacing w:after="0"/>
      </w:pPr>
    </w:p>
    <w:p>
      <w:pPr>
        <w:pStyle w:val="Heading2"/>
      </w:pPr>
      <w:r>
        <w:t>6.3 Backend resolution</w:t>
      </w:r>
    </w:p>
    <w:p>
      <w:r>
        <w:t>The initial target mode is NodeIP:NodePort. EndpointSlices determine which nodes actually host ready endpoints. Nodes are then mapped to CMP compute/network identity, including backend port ID. The controller never invents provider IDs.</w:t>
      </w:r>
    </w:p>
    <w:p>
      <w:pPr>
        <w:pStyle w:val="CodeBlock"/>
        <w:shd w:fill="F3F5F7"/>
      </w:pPr>
      <w:r>
        <w:t>EndpointSlice ready endpoints</w:t>
        <w:br/>
        <w:t xml:space="preserve">  -&gt; nodeName set</w:t>
        <w:br/>
        <w:t xml:space="preserve">  -&gt; Node readiness and traffic-policy filter</w:t>
        <w:br/>
        <w:t xml:space="preserve">  -&gt; Node InternalIP + Service NodePort</w:t>
        <w:br/>
        <w:t xml:space="preserve">  -&gt; CMP port search by IP + compute/network lookup</w:t>
        <w:br/>
        <w:t xml:space="preserve">  -&gt; BackendMember(resource_id, resource_ip, backend_port_id, port, weight)</w:t>
      </w:r>
    </w:p>
    <w:p>
      <w:pPr>
        <w:pStyle w:val="Heading1"/>
      </w:pPr>
      <w:r>
        <w:t>7. Capability matrix and target decisions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pPr>
              <w:spacing w:after="0"/>
            </w:pPr>
            <w:r/>
            <w:r>
              <w:rPr>
                <w:b/>
                <w:sz w:val="16"/>
              </w:rPr>
              <w:t>Capability</w:t>
            </w:r>
          </w:p>
        </w:tc>
        <w:tc>
          <w:tcPr>
            <w:tcW w:type="dxa" w:w="2556"/>
            <w:shd w:fill="D9EAF7"/>
            <w:vAlign w:val="center"/>
          </w:tcPr>
          <w:p>
            <w:pPr>
              <w:spacing w:after="0"/>
            </w:pPr>
            <w:r/>
            <w:r>
              <w:rPr>
                <w:b/>
                <w:sz w:val="16"/>
              </w:rPr>
              <w:t>AWS pattern</w:t>
            </w:r>
          </w:p>
        </w:tc>
        <w:tc>
          <w:tcPr>
            <w:tcW w:type="dxa" w:w="2556"/>
            <w:shd w:fill="D9EAF7"/>
            <w:vAlign w:val="center"/>
          </w:tcPr>
          <w:p>
            <w:pPr>
              <w:spacing w:after="0"/>
            </w:pPr>
            <w:r/>
            <w:r>
              <w:rPr>
                <w:b/>
                <w:sz w:val="16"/>
              </w:rPr>
              <w:t>CMP evidence</w:t>
            </w:r>
          </w:p>
        </w:tc>
        <w:tc>
          <w:tcPr>
            <w:tcW w:type="dxa" w:w="2556"/>
            <w:shd w:fill="D9EAF7"/>
            <w:vAlign w:val="center"/>
          </w:tcPr>
          <w:p>
            <w:pPr>
              <w:spacing w:after="0"/>
            </w:pPr>
            <w:r/>
            <w:r>
              <w:rPr>
                <w:b/>
                <w:sz w:val="16"/>
              </w:rPr>
              <w:t>Decision</w:t>
            </w:r>
          </w:p>
        </w:tc>
      </w:tr>
      <w:tr>
        <w:tc>
          <w:tcPr>
            <w:tcW w:type="dxa" w:w="2556"/>
            <w:vAlign w:val="center"/>
          </w:tcPr>
          <w:p>
            <w:pPr>
              <w:spacing w:after="0"/>
            </w:pPr>
            <w:r/>
            <w:r>
              <w:rPr>
                <w:b w:val="0"/>
                <w:sz w:val="15"/>
              </w:rPr>
              <w:t>Service type LoadBalancer</w:t>
            </w:r>
          </w:p>
        </w:tc>
        <w:tc>
          <w:tcPr>
            <w:tcW w:type="dxa" w:w="2556"/>
            <w:vAlign w:val="center"/>
          </w:tcPr>
          <w:p>
            <w:pPr>
              <w:spacing w:after="0"/>
            </w:pPr>
            <w:r/>
            <w:r>
              <w:rPr>
                <w:b w:val="0"/>
                <w:sz w:val="15"/>
              </w:rPr>
              <w:t>service controller + model builder</w:t>
            </w:r>
          </w:p>
        </w:tc>
        <w:tc>
          <w:tcPr>
            <w:tcW w:type="dxa" w:w="2556"/>
            <w:vAlign w:val="center"/>
          </w:tcPr>
          <w:p>
            <w:pPr>
              <w:spacing w:after="0"/>
            </w:pPr>
            <w:r/>
            <w:r>
              <w:rPr>
                <w:b w:val="0"/>
                <w:sz w:val="15"/>
              </w:rPr>
              <w:t>LB Service/VIP/VS/pools/members</w:t>
            </w:r>
          </w:p>
        </w:tc>
        <w:tc>
          <w:tcPr>
            <w:tcW w:type="dxa" w:w="2556"/>
            <w:vAlign w:val="center"/>
          </w:tcPr>
          <w:p>
            <w:pPr>
              <w:spacing w:after="0"/>
            </w:pPr>
            <w:r/>
            <w:r>
              <w:rPr>
                <w:b w:val="0"/>
                <w:sz w:val="15"/>
              </w:rPr>
              <w:t>Implement</w:t>
            </w:r>
          </w:p>
        </w:tc>
      </w:tr>
      <w:tr>
        <w:tc>
          <w:tcPr>
            <w:tcW w:type="dxa" w:w="2556"/>
            <w:vAlign w:val="center"/>
          </w:tcPr>
          <w:p>
            <w:pPr>
              <w:spacing w:after="0"/>
            </w:pPr>
            <w:r/>
            <w:r>
              <w:rPr>
                <w:b w:val="0"/>
                <w:sz w:val="15"/>
              </w:rPr>
              <w:t>Multi-port Service</w:t>
            </w:r>
          </w:p>
        </w:tc>
        <w:tc>
          <w:tcPr>
            <w:tcW w:type="dxa" w:w="2556"/>
            <w:vAlign w:val="center"/>
          </w:tcPr>
          <w:p>
            <w:pPr>
              <w:spacing w:after="0"/>
            </w:pPr>
            <w:r/>
            <w:r>
              <w:rPr>
                <w:b w:val="0"/>
                <w:sz w:val="15"/>
              </w:rPr>
              <w:t>multiple listeners/target groups</w:t>
            </w:r>
          </w:p>
        </w:tc>
        <w:tc>
          <w:tcPr>
            <w:tcW w:type="dxa" w:w="2556"/>
            <w:vAlign w:val="center"/>
          </w:tcPr>
          <w:p>
            <w:pPr>
              <w:spacing w:after="0"/>
            </w:pPr>
            <w:r/>
            <w:r>
              <w:rPr>
                <w:b w:val="0"/>
                <w:sz w:val="15"/>
              </w:rPr>
              <w:t>multiple VS under one LB Service</w:t>
            </w:r>
          </w:p>
        </w:tc>
        <w:tc>
          <w:tcPr>
            <w:tcW w:type="dxa" w:w="2556"/>
            <w:vAlign w:val="center"/>
          </w:tcPr>
          <w:p>
            <w:pPr>
              <w:spacing w:after="0"/>
            </w:pPr>
            <w:r/>
            <w:r>
              <w:rPr>
                <w:b w:val="0"/>
                <w:sz w:val="15"/>
              </w:rPr>
              <w:t>Implement one VS/pool per port</w:t>
            </w:r>
          </w:p>
        </w:tc>
      </w:tr>
      <w:tr>
        <w:tc>
          <w:tcPr>
            <w:tcW w:type="dxa" w:w="2556"/>
            <w:vAlign w:val="center"/>
          </w:tcPr>
          <w:p>
            <w:pPr>
              <w:spacing w:after="0"/>
            </w:pPr>
            <w:r/>
            <w:r>
              <w:rPr>
                <w:b w:val="0"/>
                <w:sz w:val="15"/>
              </w:rPr>
              <w:t>Ingress host routing</w:t>
            </w:r>
          </w:p>
        </w:tc>
        <w:tc>
          <w:tcPr>
            <w:tcW w:type="dxa" w:w="2556"/>
            <w:vAlign w:val="center"/>
          </w:tcPr>
          <w:p>
            <w:pPr>
              <w:spacing w:after="0"/>
            </w:pPr>
            <w:r/>
            <w:r>
              <w:rPr>
                <w:b w:val="0"/>
                <w:sz w:val="15"/>
              </w:rPr>
              <w:t>listener rules</w:t>
            </w:r>
          </w:p>
        </w:tc>
        <w:tc>
          <w:tcPr>
            <w:tcW w:type="dxa" w:w="2556"/>
            <w:vAlign w:val="center"/>
          </w:tcPr>
          <w:p>
            <w:pPr>
              <w:spacing w:after="0"/>
            </w:pPr>
            <w:r/>
            <w:r>
              <w:rPr>
                <w:b w:val="0"/>
                <w:sz w:val="15"/>
              </w:rPr>
              <w:t>host/path routing rule</w:t>
            </w:r>
          </w:p>
        </w:tc>
        <w:tc>
          <w:tcPr>
            <w:tcW w:type="dxa" w:w="2556"/>
            <w:vAlign w:val="center"/>
          </w:tcPr>
          <w:p>
            <w:pPr>
              <w:spacing w:after="0"/>
            </w:pPr>
            <w:r/>
            <w:r>
              <w:rPr>
                <w:b w:val="0"/>
                <w:sz w:val="15"/>
              </w:rPr>
              <w:t>Implement</w:t>
            </w:r>
          </w:p>
        </w:tc>
      </w:tr>
      <w:tr>
        <w:tc>
          <w:tcPr>
            <w:tcW w:type="dxa" w:w="2556"/>
            <w:vAlign w:val="center"/>
          </w:tcPr>
          <w:p>
            <w:pPr>
              <w:spacing w:after="0"/>
            </w:pPr>
            <w:r/>
            <w:r>
              <w:rPr>
                <w:b w:val="0"/>
                <w:sz w:val="15"/>
              </w:rPr>
              <w:t>Ingress path routing</w:t>
            </w:r>
          </w:p>
        </w:tc>
        <w:tc>
          <w:tcPr>
            <w:tcW w:type="dxa" w:w="2556"/>
            <w:vAlign w:val="center"/>
          </w:tcPr>
          <w:p>
            <w:pPr>
              <w:spacing w:after="0"/>
            </w:pPr>
            <w:r/>
            <w:r>
              <w:rPr>
                <w:b w:val="0"/>
                <w:sz w:val="15"/>
              </w:rPr>
              <w:t>listener rules</w:t>
            </w:r>
          </w:p>
        </w:tc>
        <w:tc>
          <w:tcPr>
            <w:tcW w:type="dxa" w:w="2556"/>
            <w:vAlign w:val="center"/>
          </w:tcPr>
          <w:p>
            <w:pPr>
              <w:spacing w:after="0"/>
            </w:pPr>
            <w:r/>
            <w:r>
              <w:rPr>
                <w:b w:val="0"/>
                <w:sz w:val="15"/>
              </w:rPr>
              <w:t>path + match_type</w:t>
            </w:r>
          </w:p>
        </w:tc>
        <w:tc>
          <w:tcPr>
            <w:tcW w:type="dxa" w:w="2556"/>
            <w:vAlign w:val="center"/>
          </w:tcPr>
          <w:p>
            <w:pPr>
              <w:spacing w:after="0"/>
            </w:pPr>
            <w:r/>
            <w:r>
              <w:rPr>
                <w:b w:val="0"/>
                <w:sz w:val="15"/>
              </w:rPr>
              <w:t>Implement supported match types</w:t>
            </w:r>
          </w:p>
        </w:tc>
      </w:tr>
      <w:tr>
        <w:tc>
          <w:tcPr>
            <w:tcW w:type="dxa" w:w="2556"/>
            <w:vAlign w:val="center"/>
          </w:tcPr>
          <w:p>
            <w:pPr>
              <w:spacing w:after="0"/>
            </w:pPr>
            <w:r/>
            <w:r>
              <w:rPr>
                <w:b w:val="0"/>
                <w:sz w:val="15"/>
              </w:rPr>
              <w:t>Ingress groups/shared VIP</w:t>
            </w:r>
          </w:p>
        </w:tc>
        <w:tc>
          <w:tcPr>
            <w:tcW w:type="dxa" w:w="2556"/>
            <w:vAlign w:val="center"/>
          </w:tcPr>
          <w:p>
            <w:pPr>
              <w:spacing w:after="0"/>
            </w:pPr>
            <w:r/>
            <w:r>
              <w:rPr>
                <w:b w:val="0"/>
                <w:sz w:val="15"/>
              </w:rPr>
              <w:t>group reconciler</w:t>
            </w:r>
          </w:p>
        </w:tc>
        <w:tc>
          <w:tcPr>
            <w:tcW w:type="dxa" w:w="2556"/>
            <w:vAlign w:val="center"/>
          </w:tcPr>
          <w:p>
            <w:pPr>
              <w:spacing w:after="0"/>
            </w:pPr>
            <w:r/>
            <w:r>
              <w:rPr>
                <w:b w:val="0"/>
                <w:sz w:val="15"/>
              </w:rPr>
              <w:t>one LB/VIP with many pools/rules</w:t>
            </w:r>
          </w:p>
        </w:tc>
        <w:tc>
          <w:tcPr>
            <w:tcW w:type="dxa" w:w="2556"/>
            <w:vAlign w:val="center"/>
          </w:tcPr>
          <w:p>
            <w:pPr>
              <w:spacing w:after="0"/>
            </w:pPr>
            <w:r/>
            <w:r>
              <w:rPr>
                <w:b w:val="0"/>
                <w:sz w:val="15"/>
              </w:rPr>
              <w:t>Implement with compatibility validation</w:t>
            </w:r>
          </w:p>
        </w:tc>
      </w:tr>
      <w:tr>
        <w:tc>
          <w:tcPr>
            <w:tcW w:type="dxa" w:w="2556"/>
            <w:vAlign w:val="center"/>
          </w:tcPr>
          <w:p>
            <w:pPr>
              <w:spacing w:after="0"/>
            </w:pPr>
            <w:r/>
            <w:r>
              <w:rPr>
                <w:b w:val="0"/>
                <w:sz w:val="15"/>
              </w:rPr>
              <w:t>Default backend</w:t>
            </w:r>
          </w:p>
        </w:tc>
        <w:tc>
          <w:tcPr>
            <w:tcW w:type="dxa" w:w="2556"/>
            <w:vAlign w:val="center"/>
          </w:tcPr>
          <w:p>
            <w:pPr>
              <w:spacing w:after="0"/>
            </w:pPr>
            <w:r/>
            <w:r>
              <w:rPr>
                <w:b w:val="0"/>
                <w:sz w:val="15"/>
              </w:rPr>
              <w:t>default action</w:t>
            </w:r>
          </w:p>
        </w:tc>
        <w:tc>
          <w:tcPr>
            <w:tcW w:type="dxa" w:w="2556"/>
            <w:vAlign w:val="center"/>
          </w:tcPr>
          <w:p>
            <w:pPr>
              <w:spacing w:after="0"/>
            </w:pPr>
            <w:r/>
            <w:r>
              <w:rPr>
                <w:b w:val="0"/>
                <w:sz w:val="15"/>
              </w:rPr>
              <w:t>set-default pool</w:t>
            </w:r>
          </w:p>
        </w:tc>
        <w:tc>
          <w:tcPr>
            <w:tcW w:type="dxa" w:w="2556"/>
            <w:vAlign w:val="center"/>
          </w:tcPr>
          <w:p>
            <w:pPr>
              <w:spacing w:after="0"/>
            </w:pPr>
            <w:r/>
            <w:r>
              <w:rPr>
                <w:b w:val="0"/>
                <w:sz w:val="15"/>
              </w:rPr>
              <w:t>Implement</w:t>
            </w:r>
          </w:p>
        </w:tc>
      </w:tr>
      <w:tr>
        <w:tc>
          <w:tcPr>
            <w:tcW w:type="dxa" w:w="2556"/>
            <w:vAlign w:val="center"/>
          </w:tcPr>
          <w:p>
            <w:pPr>
              <w:spacing w:after="0"/>
            </w:pPr>
            <w:r/>
            <w:r>
              <w:rPr>
                <w:b w:val="0"/>
                <w:sz w:val="15"/>
              </w:rPr>
              <w:t>TLS termination</w:t>
            </w:r>
          </w:p>
        </w:tc>
        <w:tc>
          <w:tcPr>
            <w:tcW w:type="dxa" w:w="2556"/>
            <w:vAlign w:val="center"/>
          </w:tcPr>
          <w:p>
            <w:pPr>
              <w:spacing w:after="0"/>
            </w:pPr>
            <w:r/>
            <w:r>
              <w:rPr>
                <w:b w:val="0"/>
                <w:sz w:val="15"/>
              </w:rPr>
              <w:t>certificate/listener model</w:t>
            </w:r>
          </w:p>
        </w:tc>
        <w:tc>
          <w:tcPr>
            <w:tcW w:type="dxa" w:w="2556"/>
            <w:vAlign w:val="center"/>
          </w:tcPr>
          <w:p>
            <w:pPr>
              <w:spacing w:after="0"/>
            </w:pPr>
            <w:r/>
            <w:r>
              <w:rPr>
                <w:b w:val="0"/>
                <w:sz w:val="15"/>
              </w:rPr>
              <w:t>certificate upload + attach</w:t>
            </w:r>
          </w:p>
        </w:tc>
        <w:tc>
          <w:tcPr>
            <w:tcW w:type="dxa" w:w="2556"/>
            <w:vAlign w:val="center"/>
          </w:tcPr>
          <w:p>
            <w:pPr>
              <w:spacing w:after="0"/>
            </w:pPr>
            <w:r/>
            <w:r>
              <w:rPr>
                <w:b w:val="0"/>
                <w:sz w:val="15"/>
              </w:rPr>
              <w:t>Implement</w:t>
            </w:r>
          </w:p>
        </w:tc>
      </w:tr>
      <w:tr>
        <w:tc>
          <w:tcPr>
            <w:tcW w:type="dxa" w:w="2556"/>
            <w:vAlign w:val="center"/>
          </w:tcPr>
          <w:p>
            <w:pPr>
              <w:spacing w:after="0"/>
            </w:pPr>
            <w:r/>
            <w:r>
              <w:rPr>
                <w:b w:val="0"/>
                <w:sz w:val="15"/>
              </w:rPr>
              <w:t>HTTP-&gt;HTTPS redirect</w:t>
            </w:r>
          </w:p>
        </w:tc>
        <w:tc>
          <w:tcPr>
            <w:tcW w:type="dxa" w:w="2556"/>
            <w:vAlign w:val="center"/>
          </w:tcPr>
          <w:p>
            <w:pPr>
              <w:spacing w:after="0"/>
            </w:pPr>
            <w:r/>
            <w:r>
              <w:rPr>
                <w:b w:val="0"/>
                <w:sz w:val="15"/>
              </w:rPr>
              <w:t>redirect action</w:t>
            </w:r>
          </w:p>
        </w:tc>
        <w:tc>
          <w:tcPr>
            <w:tcW w:type="dxa" w:w="2556"/>
            <w:vAlign w:val="center"/>
          </w:tcPr>
          <w:p>
            <w:pPr>
              <w:spacing w:after="0"/>
            </w:pPr>
            <w:r/>
            <w:r>
              <w:rPr>
                <w:b w:val="0"/>
                <w:sz w:val="15"/>
              </w:rPr>
              <w:t>redirect_https</w:t>
            </w:r>
          </w:p>
        </w:tc>
        <w:tc>
          <w:tcPr>
            <w:tcW w:type="dxa" w:w="2556"/>
            <w:vAlign w:val="center"/>
          </w:tcPr>
          <w:p>
            <w:pPr>
              <w:spacing w:after="0"/>
            </w:pPr>
            <w:r/>
            <w:r>
              <w:rPr>
                <w:b w:val="0"/>
                <w:sz w:val="15"/>
              </w:rPr>
              <w:t>Implement</w:t>
            </w:r>
          </w:p>
        </w:tc>
      </w:tr>
      <w:tr>
        <w:tc>
          <w:tcPr>
            <w:tcW w:type="dxa" w:w="2556"/>
            <w:vAlign w:val="center"/>
          </w:tcPr>
          <w:p>
            <w:pPr>
              <w:spacing w:after="0"/>
            </w:pPr>
            <w:r/>
            <w:r>
              <w:rPr>
                <w:b w:val="0"/>
                <w:sz w:val="15"/>
              </w:rPr>
              <w:t>X-Forwarded-For</w:t>
            </w:r>
          </w:p>
        </w:tc>
        <w:tc>
          <w:tcPr>
            <w:tcW w:type="dxa" w:w="2556"/>
            <w:vAlign w:val="center"/>
          </w:tcPr>
          <w:p>
            <w:pPr>
              <w:spacing w:after="0"/>
            </w:pPr>
            <w:r/>
            <w:r>
              <w:rPr>
                <w:b w:val="0"/>
                <w:sz w:val="15"/>
              </w:rPr>
              <w:t>listener attributes</w:t>
            </w:r>
          </w:p>
        </w:tc>
        <w:tc>
          <w:tcPr>
            <w:tcW w:type="dxa" w:w="2556"/>
            <w:vAlign w:val="center"/>
          </w:tcPr>
          <w:p>
            <w:pPr>
              <w:spacing w:after="0"/>
            </w:pPr>
            <w:r/>
            <w:r>
              <w:rPr>
                <w:b w:val="0"/>
                <w:sz w:val="15"/>
              </w:rPr>
              <w:t>x_forwarded_for</w:t>
            </w:r>
          </w:p>
        </w:tc>
        <w:tc>
          <w:tcPr>
            <w:tcW w:type="dxa" w:w="2556"/>
            <w:vAlign w:val="center"/>
          </w:tcPr>
          <w:p>
            <w:pPr>
              <w:spacing w:after="0"/>
            </w:pPr>
            <w:r/>
            <w:r>
              <w:rPr>
                <w:b w:val="0"/>
                <w:sz w:val="15"/>
              </w:rPr>
              <w:t>Implement</w:t>
            </w:r>
          </w:p>
        </w:tc>
      </w:tr>
      <w:tr>
        <w:tc>
          <w:tcPr>
            <w:tcW w:type="dxa" w:w="2556"/>
            <w:vAlign w:val="center"/>
          </w:tcPr>
          <w:p>
            <w:pPr>
              <w:spacing w:after="0"/>
            </w:pPr>
            <w:r/>
            <w:r>
              <w:rPr>
                <w:b w:val="0"/>
                <w:sz w:val="15"/>
              </w:rPr>
              <w:t>Persistence</w:t>
            </w:r>
          </w:p>
        </w:tc>
        <w:tc>
          <w:tcPr>
            <w:tcW w:type="dxa" w:w="2556"/>
            <w:vAlign w:val="center"/>
          </w:tcPr>
          <w:p>
            <w:pPr>
              <w:spacing w:after="0"/>
            </w:pPr>
            <w:r/>
            <w:r>
              <w:rPr>
                <w:b w:val="0"/>
                <w:sz w:val="15"/>
              </w:rPr>
              <w:t>attributes</w:t>
            </w:r>
          </w:p>
        </w:tc>
        <w:tc>
          <w:tcPr>
            <w:tcW w:type="dxa" w:w="2556"/>
            <w:vAlign w:val="center"/>
          </w:tcPr>
          <w:p>
            <w:pPr>
              <w:spacing w:after="0"/>
            </w:pPr>
            <w:r/>
            <w:r>
              <w:rPr>
                <w:b w:val="0"/>
                <w:sz w:val="15"/>
              </w:rPr>
              <w:t>persistence and cookie fields</w:t>
            </w:r>
          </w:p>
        </w:tc>
        <w:tc>
          <w:tcPr>
            <w:tcW w:type="dxa" w:w="2556"/>
            <w:vAlign w:val="center"/>
          </w:tcPr>
          <w:p>
            <w:pPr>
              <w:spacing w:after="0"/>
            </w:pPr>
            <w:r/>
            <w:r>
              <w:rPr>
                <w:b w:val="0"/>
                <w:sz w:val="15"/>
              </w:rPr>
              <w:t>Implement validated subset</w:t>
            </w:r>
          </w:p>
        </w:tc>
      </w:tr>
      <w:tr>
        <w:tc>
          <w:tcPr>
            <w:tcW w:type="dxa" w:w="2556"/>
            <w:vAlign w:val="center"/>
          </w:tcPr>
          <w:p>
            <w:pPr>
              <w:spacing w:after="0"/>
            </w:pPr>
            <w:r/>
            <w:r>
              <w:rPr>
                <w:b w:val="0"/>
                <w:sz w:val="15"/>
              </w:rPr>
              <w:t>Health checks</w:t>
            </w:r>
          </w:p>
        </w:tc>
        <w:tc>
          <w:tcPr>
            <w:tcW w:type="dxa" w:w="2556"/>
            <w:vAlign w:val="center"/>
          </w:tcPr>
          <w:p>
            <w:pPr>
              <w:spacing w:after="0"/>
            </w:pPr>
            <w:r/>
            <w:r>
              <w:rPr>
                <w:b w:val="0"/>
                <w:sz w:val="15"/>
              </w:rPr>
              <w:t>target-group health checks</w:t>
            </w:r>
          </w:p>
        </w:tc>
        <w:tc>
          <w:tcPr>
            <w:tcW w:type="dxa" w:w="2556"/>
            <w:vAlign w:val="center"/>
          </w:tcPr>
          <w:p>
            <w:pPr>
              <w:spacing w:after="0"/>
            </w:pPr>
            <w:r/>
            <w:r>
              <w:rPr>
                <w:b w:val="0"/>
                <w:sz w:val="15"/>
              </w:rPr>
              <w:t>monitor CRUD</w:t>
            </w:r>
          </w:p>
        </w:tc>
        <w:tc>
          <w:tcPr>
            <w:tcW w:type="dxa" w:w="2556"/>
            <w:vAlign w:val="center"/>
          </w:tcPr>
          <w:p>
            <w:pPr>
              <w:spacing w:after="0"/>
            </w:pPr>
            <w:r/>
            <w:r>
              <w:rPr>
                <w:b w:val="0"/>
                <w:sz w:val="15"/>
              </w:rPr>
              <w:t>Implement</w:t>
            </w:r>
          </w:p>
        </w:tc>
      </w:tr>
      <w:tr>
        <w:tc>
          <w:tcPr>
            <w:tcW w:type="dxa" w:w="2556"/>
            <w:vAlign w:val="center"/>
          </w:tcPr>
          <w:p>
            <w:pPr>
              <w:spacing w:after="0"/>
            </w:pPr>
            <w:r/>
            <w:r>
              <w:rPr>
                <w:b w:val="0"/>
                <w:sz w:val="15"/>
              </w:rPr>
              <w:t>Weighted members</w:t>
            </w:r>
          </w:p>
        </w:tc>
        <w:tc>
          <w:tcPr>
            <w:tcW w:type="dxa" w:w="2556"/>
            <w:vAlign w:val="center"/>
          </w:tcPr>
          <w:p>
            <w:pPr>
              <w:spacing w:after="0"/>
            </w:pPr>
            <w:r/>
            <w:r>
              <w:rPr>
                <w:b w:val="0"/>
                <w:sz w:val="15"/>
              </w:rPr>
              <w:t>target configuration</w:t>
            </w:r>
          </w:p>
        </w:tc>
        <w:tc>
          <w:tcPr>
            <w:tcW w:type="dxa" w:w="2556"/>
            <w:vAlign w:val="center"/>
          </w:tcPr>
          <w:p>
            <w:pPr>
              <w:spacing w:after="0"/>
            </w:pPr>
            <w:r/>
            <w:r>
              <w:rPr>
                <w:b w:val="0"/>
                <w:sz w:val="15"/>
              </w:rPr>
              <w:t>partially evident; payload verification needed</w:t>
            </w:r>
          </w:p>
        </w:tc>
        <w:tc>
          <w:tcPr>
            <w:tcW w:type="dxa" w:w="2556"/>
            <w:vAlign w:val="center"/>
          </w:tcPr>
          <w:p>
            <w:pPr>
              <w:spacing w:after="0"/>
            </w:pPr>
            <w:r/>
            <w:r>
              <w:rPr>
                <w:b w:val="0"/>
                <w:sz w:val="15"/>
              </w:rPr>
              <w:t>Conditional</w:t>
            </w:r>
          </w:p>
        </w:tc>
      </w:tr>
      <w:tr>
        <w:tc>
          <w:tcPr>
            <w:tcW w:type="dxa" w:w="2556"/>
            <w:vAlign w:val="center"/>
          </w:tcPr>
          <w:p>
            <w:pPr>
              <w:spacing w:after="0"/>
            </w:pPr>
            <w:r/>
            <w:r>
              <w:rPr>
                <w:b w:val="0"/>
                <w:sz w:val="15"/>
              </w:rPr>
              <w:t>Source CIDRs</w:t>
            </w:r>
          </w:p>
        </w:tc>
        <w:tc>
          <w:tcPr>
            <w:tcW w:type="dxa" w:w="2556"/>
            <w:vAlign w:val="center"/>
          </w:tcPr>
          <w:p>
            <w:pPr>
              <w:spacing w:after="0"/>
            </w:pPr>
            <w:r/>
            <w:r>
              <w:rPr>
                <w:b w:val="0"/>
                <w:sz w:val="15"/>
              </w:rPr>
              <w:t>listener inbound CIDRs</w:t>
            </w:r>
          </w:p>
        </w:tc>
        <w:tc>
          <w:tcPr>
            <w:tcW w:type="dxa" w:w="2556"/>
            <w:vAlign w:val="center"/>
          </w:tcPr>
          <w:p>
            <w:pPr>
              <w:spacing w:after="0"/>
            </w:pPr>
            <w:r/>
            <w:r>
              <w:rPr>
                <w:b w:val="0"/>
                <w:sz w:val="15"/>
              </w:rPr>
              <w:t>only coarse API clearly exposes allowed_cidrs</w:t>
            </w:r>
          </w:p>
        </w:tc>
        <w:tc>
          <w:tcPr>
            <w:tcW w:type="dxa" w:w="2556"/>
            <w:vAlign w:val="center"/>
          </w:tcPr>
          <w:p>
            <w:pPr>
              <w:spacing w:after="0"/>
            </w:pPr>
            <w:r/>
            <w:r>
              <w:rPr>
                <w:b w:val="0"/>
                <w:sz w:val="15"/>
              </w:rPr>
              <w:t>Defer pending decomposed endpoint</w:t>
            </w:r>
          </w:p>
        </w:tc>
      </w:tr>
      <w:tr>
        <w:tc>
          <w:tcPr>
            <w:tcW w:type="dxa" w:w="2556"/>
            <w:vAlign w:val="center"/>
          </w:tcPr>
          <w:p>
            <w:pPr>
              <w:spacing w:after="0"/>
            </w:pPr>
            <w:r/>
            <w:r>
              <w:rPr>
                <w:b w:val="0"/>
                <w:sz w:val="15"/>
              </w:rPr>
              <w:t>Pod-IP targets</w:t>
            </w:r>
          </w:p>
        </w:tc>
        <w:tc>
          <w:tcPr>
            <w:tcW w:type="dxa" w:w="2556"/>
            <w:vAlign w:val="center"/>
          </w:tcPr>
          <w:p>
            <w:pPr>
              <w:spacing w:after="0"/>
            </w:pPr>
            <w:r/>
            <w:r>
              <w:rPr>
                <w:b w:val="0"/>
                <w:sz w:val="15"/>
              </w:rPr>
              <w:t>IP target mode</w:t>
            </w:r>
          </w:p>
        </w:tc>
        <w:tc>
          <w:tcPr>
            <w:tcW w:type="dxa" w:w="2556"/>
            <w:vAlign w:val="center"/>
          </w:tcPr>
          <w:p>
            <w:pPr>
              <w:spacing w:after="0"/>
            </w:pPr>
            <w:r/>
            <w:r>
              <w:rPr>
                <w:b w:val="0"/>
                <w:sz w:val="15"/>
              </w:rPr>
              <w:t>reachability/identity not proven</w:t>
            </w:r>
          </w:p>
        </w:tc>
        <w:tc>
          <w:tcPr>
            <w:tcW w:type="dxa" w:w="2556"/>
            <w:vAlign w:val="center"/>
          </w:tcPr>
          <w:p>
            <w:pPr>
              <w:spacing w:after="0"/>
            </w:pPr>
            <w:r/>
            <w:r>
              <w:rPr>
                <w:b w:val="0"/>
                <w:sz w:val="15"/>
              </w:rPr>
              <w:t>Not initial release</w:t>
            </w:r>
          </w:p>
        </w:tc>
      </w:tr>
      <w:tr>
        <w:tc>
          <w:tcPr>
            <w:tcW w:type="dxa" w:w="2556"/>
            <w:vAlign w:val="center"/>
          </w:tcPr>
          <w:p>
            <w:pPr>
              <w:spacing w:after="0"/>
            </w:pPr>
            <w:r/>
            <w:r>
              <w:rPr>
                <w:b w:val="0"/>
                <w:sz w:val="15"/>
              </w:rPr>
              <w:t>Dual stack</w:t>
            </w:r>
          </w:p>
        </w:tc>
        <w:tc>
          <w:tcPr>
            <w:tcW w:type="dxa" w:w="2556"/>
            <w:vAlign w:val="center"/>
          </w:tcPr>
          <w:p>
            <w:pPr>
              <w:spacing w:after="0"/>
            </w:pPr>
            <w:r/>
            <w:r>
              <w:rPr>
                <w:b w:val="0"/>
                <w:sz w:val="15"/>
              </w:rPr>
              <w:t>IP address type</w:t>
            </w:r>
          </w:p>
        </w:tc>
        <w:tc>
          <w:tcPr>
            <w:tcW w:type="dxa" w:w="2556"/>
            <w:vAlign w:val="center"/>
          </w:tcPr>
          <w:p>
            <w:pPr>
              <w:spacing w:after="0"/>
            </w:pPr>
            <w:r/>
            <w:r>
              <w:rPr>
                <w:b w:val="0"/>
                <w:sz w:val="15"/>
              </w:rPr>
              <w:t>not established</w:t>
            </w:r>
          </w:p>
        </w:tc>
        <w:tc>
          <w:tcPr>
            <w:tcW w:type="dxa" w:w="2556"/>
            <w:vAlign w:val="center"/>
          </w:tcPr>
          <w:p>
            <w:pPr>
              <w:spacing w:after="0"/>
            </w:pPr>
            <w:r/>
            <w:r>
              <w:rPr>
                <w:b w:val="0"/>
                <w:sz w:val="15"/>
              </w:rPr>
              <w:t>Not initial release</w:t>
            </w:r>
          </w:p>
        </w:tc>
      </w:tr>
      <w:tr>
        <w:tc>
          <w:tcPr>
            <w:tcW w:type="dxa" w:w="2556"/>
            <w:vAlign w:val="center"/>
          </w:tcPr>
          <w:p>
            <w:pPr>
              <w:spacing w:after="0"/>
            </w:pPr>
            <w:r/>
            <w:r>
              <w:rPr>
                <w:b w:val="0"/>
                <w:sz w:val="15"/>
              </w:rPr>
              <w:t>Multi-AZ/HA</w:t>
            </w:r>
          </w:p>
        </w:tc>
        <w:tc>
          <w:tcPr>
            <w:tcW w:type="dxa" w:w="2556"/>
            <w:vAlign w:val="center"/>
          </w:tcPr>
          <w:p>
            <w:pPr>
              <w:spacing w:after="0"/>
            </w:pPr>
            <w:r/>
            <w:r>
              <w:rPr>
                <w:b w:val="0"/>
                <w:sz w:val="15"/>
              </w:rPr>
              <w:t>subnet/AZ model</w:t>
            </w:r>
          </w:p>
        </w:tc>
        <w:tc>
          <w:tcPr>
            <w:tcW w:type="dxa" w:w="2556"/>
            <w:vAlign w:val="center"/>
          </w:tcPr>
          <w:p>
            <w:pPr>
              <w:spacing w:after="0"/>
            </w:pPr>
            <w:r/>
            <w:r>
              <w:rPr>
                <w:b w:val="0"/>
                <w:sz w:val="15"/>
              </w:rPr>
              <w:t>LB Service ha flag; platform support gated</w:t>
            </w:r>
          </w:p>
        </w:tc>
        <w:tc>
          <w:tcPr>
            <w:tcW w:type="dxa" w:w="2556"/>
            <w:vAlign w:val="center"/>
          </w:tcPr>
          <w:p>
            <w:pPr>
              <w:spacing w:after="0"/>
            </w:pPr>
            <w:r/>
            <w:r>
              <w:rPr>
                <w:b w:val="0"/>
                <w:sz w:val="15"/>
              </w:rPr>
              <w:t>Architecture-ready, release-gated</w:t>
            </w:r>
          </w:p>
        </w:tc>
      </w:tr>
      <w:tr>
        <w:tc>
          <w:tcPr>
            <w:tcW w:type="dxa" w:w="2556"/>
            <w:vAlign w:val="center"/>
          </w:tcPr>
          <w:p>
            <w:pPr>
              <w:spacing w:after="0"/>
            </w:pPr>
            <w:r/>
            <w:r>
              <w:rPr>
                <w:b w:val="0"/>
                <w:sz w:val="15"/>
              </w:rPr>
              <w:t>Gateway API</w:t>
            </w:r>
          </w:p>
        </w:tc>
        <w:tc>
          <w:tcPr>
            <w:tcW w:type="dxa" w:w="2556"/>
            <w:vAlign w:val="center"/>
          </w:tcPr>
          <w:p>
            <w:pPr>
              <w:spacing w:after="0"/>
            </w:pPr>
            <w:r/>
            <w:r>
              <w:rPr>
                <w:b w:val="0"/>
                <w:sz w:val="15"/>
              </w:rPr>
              <w:t>gateway model</w:t>
            </w:r>
          </w:p>
        </w:tc>
        <w:tc>
          <w:tcPr>
            <w:tcW w:type="dxa" w:w="2556"/>
            <w:vAlign w:val="center"/>
          </w:tcPr>
          <w:p>
            <w:pPr>
              <w:spacing w:after="0"/>
            </w:pPr>
            <w:r/>
            <w:r>
              <w:rPr>
                <w:b w:val="0"/>
                <w:sz w:val="15"/>
              </w:rPr>
              <w:t>primitives compatible</w:t>
            </w:r>
          </w:p>
        </w:tc>
        <w:tc>
          <w:tcPr>
            <w:tcW w:type="dxa" w:w="2556"/>
            <w:vAlign w:val="center"/>
          </w:tcPr>
          <w:p>
            <w:pPr>
              <w:spacing w:after="0"/>
            </w:pPr>
            <w:r/>
            <w:r>
              <w:rPr>
                <w:b w:val="0"/>
                <w:sz w:val="15"/>
              </w:rPr>
              <w:t>Future</w:t>
            </w:r>
          </w:p>
        </w:tc>
      </w:tr>
    </w:tbl>
    <w:p>
      <w:pPr>
        <w:spacing w:after="0"/>
      </w:pPr>
    </w:p>
    <w:p>
      <w:pPr>
        <w:pStyle w:val="Heading2"/>
      </w:pPr>
      <w:r>
        <w:t>7.1 Validation behavior</w:t>
      </w:r>
    </w:p>
    <w:p>
      <w:r>
        <w:t>The model builder is the authoritative validator because it has full dependency context. A validating webhook is recommended for static errors such as malformed annotations, unsupported protocols/path types, shared-group conflicts, listener collisions, missing TLS references, and invalid persistence combinations. Flavor availability and backend identity remain reconciliation-time checks.</w:t>
      </w:r>
    </w:p>
    <w:p>
      <w:pPr>
        <w:pStyle w:val="Heading1"/>
      </w:pPr>
      <w:r>
        <w:t>8. Ownership, identity, and adoption</w:t>
      </w:r>
    </w:p>
    <w:p>
      <w:pPr>
        <w:jc w:val="center"/>
      </w:pPr>
      <w:r>
        <w:drawing>
          <wp:inline xmlns:a="http://schemas.openxmlformats.org/drawingml/2006/main" xmlns:pic="http://schemas.openxmlformats.org/drawingml/2006/picture">
            <wp:extent cx="5943600" cy="7203480"/>
            <wp:docPr id="5" name="Picture 5"/>
            <wp:cNvGraphicFramePr>
              <a:graphicFrameLocks noChangeAspect="1"/>
            </wp:cNvGraphicFramePr>
            <a:graphic>
              <a:graphicData uri="http://schemas.openxmlformats.org/drawingml/2006/picture">
                <pic:pic>
                  <pic:nvPicPr>
                    <pic:cNvPr id="0" name="06_ownership.png"/>
                    <pic:cNvPicPr/>
                  </pic:nvPicPr>
                  <pic:blipFill>
                    <a:blip r:embed="rId15"/>
                    <a:stretch>
                      <a:fillRect/>
                    </a:stretch>
                  </pic:blipFill>
                  <pic:spPr>
                    <a:xfrm>
                      <a:off x="0" y="0"/>
                      <a:ext cx="5943600" cy="7203480"/>
                    </a:xfrm>
                    <a:prstGeom prst="rect"/>
                  </pic:spPr>
                </pic:pic>
              </a:graphicData>
            </a:graphic>
          </wp:inline>
        </w:drawing>
      </w:r>
    </w:p>
    <w:p>
      <w:pPr>
        <w:jc w:val="center"/>
      </w:pPr>
      <w:r>
        <w:rPr>
          <w:i/>
          <w:sz w:val="16"/>
        </w:rPr>
        <w:t>Figure 5 - Ownership generation and adoption decision</w:t>
      </w:r>
    </w:p>
    <w:p>
      <w:pPr>
        <w:pStyle w:val="Heading2"/>
      </w:pPr>
      <w:r>
        <w:t>8.1 Who creates ownership fields</w:t>
      </w:r>
    </w:p>
    <w:p>
      <w:r>
        <w:t>The Ownership Provider in the model-building layer creates ownership fields. Users do not supply them, controllers do not improvise them, and the admission webhook only validates user configuration.</w:t>
      </w:r>
    </w:p>
    <w:p>
      <w:pPr>
        <w:pStyle w:val="CodeBlock"/>
        <w:shd w:fill="F3F5F7"/>
      </w:pPr>
      <w:r>
        <w:t>managed-by       = gardener-extension-f5</w:t>
        <w:br/>
        <w:t>cluster-uid      = &lt;Shoot/cluster stable UID&gt;</w:t>
        <w:br/>
        <w:t>source-kind      = Service | IngressGroup</w:t>
        <w:br/>
        <w:t>source-namespace = &lt;namespace or group scope&gt;</w:t>
        <w:br/>
        <w:t>source-name      = &lt;object name or group key&gt;</w:t>
        <w:br/>
        <w:t>source-uid       = &lt;Kubernetes UID or deterministic group UID&gt;</w:t>
        <w:br/>
        <w:t>resource-role    = lb-service | vip | virtual-server | pool | member | monitor | rule | certificate</w:t>
        <w:br/>
        <w:t>logical-id       = &lt;stable internal logical ID&gt;</w:t>
      </w:r>
    </w:p>
    <w:p>
      <w:pPr>
        <w:pStyle w:val="Heading2"/>
      </w:pPr>
      <w:r>
        <w:t>8.2 Adoption and finalizers</w:t>
      </w:r>
    </w:p>
    <w:p>
      <w:r>
        <w:t>Adoption requires matching ownership, tenant/project, VPC/network, resource role, and logical ID. A matching name alone is insufficient. Finalizers are added before provider creation and removed only after owned resources or shared bindings are cleaned up.</w:t>
      </w:r>
    </w:p>
    <w:p>
      <w:pPr>
        <w:pStyle w:val="Heading1"/>
      </w:pPr>
      <w:r>
        <w:t>9. Reconciliation algorithms</w:t>
      </w:r>
    </w:p>
    <w:p>
      <w:pPr>
        <w:pStyle w:val="Heading2"/>
      </w:pPr>
      <w:r>
        <w:t>9.1 Service reconciliation</w:t>
      </w:r>
    </w:p>
    <w:p>
      <w:pPr>
        <w:jc w:val="center"/>
      </w:pPr>
      <w:r>
        <w:drawing>
          <wp:inline xmlns:a="http://schemas.openxmlformats.org/drawingml/2006/main" xmlns:pic="http://schemas.openxmlformats.org/drawingml/2006/picture">
            <wp:extent cx="6217920" cy="766721"/>
            <wp:docPr id="6" name="Picture 6"/>
            <wp:cNvGraphicFramePr>
              <a:graphicFrameLocks noChangeAspect="1"/>
            </wp:cNvGraphicFramePr>
            <a:graphic>
              <a:graphicData uri="http://schemas.openxmlformats.org/drawingml/2006/picture">
                <pic:pic>
                  <pic:nvPicPr>
                    <pic:cNvPr id="0" name="04_service_sequence.png"/>
                    <pic:cNvPicPr/>
                  </pic:nvPicPr>
                  <pic:blipFill>
                    <a:blip r:embed="rId16"/>
                    <a:stretch>
                      <a:fillRect/>
                    </a:stretch>
                  </pic:blipFill>
                  <pic:spPr>
                    <a:xfrm>
                      <a:off x="0" y="0"/>
                      <a:ext cx="6217920" cy="766721"/>
                    </a:xfrm>
                    <a:prstGeom prst="rect"/>
                  </pic:spPr>
                </pic:pic>
              </a:graphicData>
            </a:graphic>
          </wp:inline>
        </w:drawing>
      </w:r>
    </w:p>
    <w:p>
      <w:pPr>
        <w:jc w:val="center"/>
      </w:pPr>
      <w:r>
        <w:rPr>
          <w:i/>
          <w:sz w:val="16"/>
        </w:rPr>
        <w:t>Figure 6 - Service reconciliation sequence</w:t>
      </w:r>
    </w:p>
    <w:p>
      <w:r>
        <w:t>1. Read and classify the Service.</w:t>
      </w:r>
    </w:p>
    <w:p>
      <w:r>
        <w:t>2. Handle unselected or deleting state safely.</w:t>
      </w:r>
    </w:p>
    <w:p>
      <w:r>
        <w:t>3. Resolve ports and NodePorts.</w:t>
      </w:r>
    </w:p>
    <w:p>
      <w:r>
        <w:t>4. Read EndpointSlices and derive nodes with ready endpoints.</w:t>
      </w:r>
    </w:p>
    <w:p>
      <w:r>
        <w:t>5. Apply Node readiness and externalTrafficPolicy filtering.</w:t>
      </w:r>
    </w:p>
    <w:p>
      <w:r>
        <w:t>6. Resolve CMP compute/network identity and backend port ID.</w:t>
      </w:r>
    </w:p>
    <w:p>
      <w:r>
        <w:t>7. Build the desired Stack and ownership metadata.</w:t>
      </w:r>
    </w:p>
    <w:p>
      <w:r>
        <w:t>8. Add finalizer before provider mutation.</w:t>
      </w:r>
    </w:p>
    <w:p>
      <w:r>
        <w:t>9. Deploy resources in dependency order.</w:t>
      </w:r>
    </w:p>
    <w:p>
      <w:r>
        <w:t>10. Publish VIP only after required frontend readiness.</w:t>
      </w:r>
    </w:p>
    <w:p>
      <w:r>
        <w:t>11. Emit Conditions, Events, logs, and metrics.</w:t>
      </w:r>
    </w:p>
    <w:p>
      <w:pPr>
        <w:pStyle w:val="Heading2"/>
      </w:pPr>
      <w:r>
        <w:t>9.2 Ingress group reconciliation</w:t>
      </w:r>
    </w:p>
    <w:p>
      <w:r>
        <w:t>1. Resolve group key and load active/inactive members.</w:t>
      </w:r>
    </w:p>
    <w:p>
      <w:r>
        <w:t>2. Validate group-wide network, VIP, listener, and ownership compatibility.</w:t>
      </w:r>
    </w:p>
    <w:p>
      <w:r>
        <w:t>3. Load backend Services, EndpointSlices, Nodes, and TLS Secrets.</w:t>
      </w:r>
    </w:p>
    <w:p>
      <w:r>
        <w:t>4. Deduplicate pools by backend Service/port and policy tuple.</w:t>
      </w:r>
    </w:p>
    <w:p>
      <w:r>
        <w:t>5. Build LB Service, VIP, Virtual Servers, pools, monitors, members, rules, and certificates.</w:t>
      </w:r>
    </w:p>
    <w:p>
      <w:r>
        <w:t>6. Add finalizers to active members.</w:t>
      </w:r>
    </w:p>
    <w:p>
      <w:r>
        <w:t>7. Deploy the group Stack.</w:t>
      </w:r>
    </w:p>
    <w:p>
      <w:r>
        <w:t>8. Update all active Ingress statuses with the shared VIP.</w:t>
      </w:r>
    </w:p>
    <w:p>
      <w:r>
        <w:t>9. Remove inactive-member finalizers after their bindings/routes are absent.</w:t>
      </w:r>
    </w:p>
    <w:p>
      <w:pPr>
        <w:pStyle w:val="Heading2"/>
      </w:pPr>
      <w:r>
        <w:t>9.3 Dependency order and stable frontend rule</w:t>
      </w:r>
    </w:p>
    <w:p>
      <w:pPr>
        <w:pStyle w:val="CodeBlock"/>
        <w:shd w:fill="F3F5F7"/>
      </w:pPr>
      <w:r>
        <w:t>Create/update:</w:t>
        <w:br/>
        <w:t>LB Service -&gt; VIP -&gt; Certificate -&gt; Virtual Server -&gt; Pool -&gt; Monitor -&gt; Member -&gt; Routing Rule -&gt; set default pool</w:t>
        <w:br/>
        <w:br/>
        <w:t>Delete:</w:t>
        <w:br/>
        <w:t>reverse dependency order</w:t>
      </w:r>
    </w:p>
    <w:p>
      <w:r>
        <w:t>Backend-only changes must not recreate the LB Service, VIP, Virtual Server, routing rules, certificates, or unchanged pools. Each manager owns equality and mutation for its resource type.</w:t>
      </w:r>
    </w:p>
    <w:p>
      <w:pPr>
        <w:pStyle w:val="Heading1"/>
      </w:pPr>
      <w:r>
        <w:t>10. Package and interface blueprint</w:t>
      </w:r>
    </w:p>
    <w:p>
      <w:pPr>
        <w:pStyle w:val="CodeBlock"/>
        <w:shd w:fill="F3F5F7"/>
      </w:pPr>
      <w:r>
        <w:t>cmd/gardener-extension-f5/          # extension lifecycle and component registration</w:t>
        <w:br/>
        <w:t>cmd/f5-application-lb-controller/  # Shoot controller process</w:t>
        <w:br/>
        <w:t>pkg/controllers/service/</w:t>
        <w:br/>
        <w:t>pkg/controllers/ingress/</w:t>
        <w:br/>
        <w:t>pkg/model/core/</w:t>
        <w:br/>
        <w:t>pkg/model/f5/</w:t>
        <w:br/>
        <w:t>pkg/service/</w:t>
        <w:br/>
        <w:t>pkg/ingress/</w:t>
        <w:br/>
        <w:t>pkg/backend/</w:t>
        <w:br/>
        <w:t>pkg/ownership/</w:t>
        <w:br/>
        <w:t>pkg/deploy/</w:t>
        <w:br/>
        <w:t>pkg/cmp/lbaas/</w:t>
        <w:br/>
        <w:t>pkg/cmp/compute/</w:t>
        <w:br/>
        <w:t>pkg/cmp/network/</w:t>
        <w:br/>
        <w:t>pkg/status/</w:t>
        <w:br/>
        <w:t>pkg/finalizers/</w:t>
        <w:br/>
        <w:t>pkg/validation/</w:t>
        <w:br/>
        <w:t>pkg/webhooks/</w:t>
        <w:br/>
        <w:t>pkg/metrics/</w:t>
      </w:r>
    </w:p>
    <w:p>
      <w:r>
        <w:t>Representative contracts:</w:t>
      </w:r>
    </w:p>
    <w:p>
      <w:pPr>
        <w:pStyle w:val="CodeBlock"/>
        <w:shd w:fill="F3F5F7"/>
      </w:pPr>
      <w:r>
        <w:t>type ServiceModelBuilder interface {</w:t>
        <w:br/>
        <w:t xml:space="preserve">    Build(ctx context.Context, svc *corev1.Service) (*core.Stack, error)</w:t>
        <w:br/>
        <w:t>}</w:t>
        <w:br/>
        <w:br/>
        <w:t>type IngressModelBuilder interface {</w:t>
        <w:br/>
        <w:t xml:space="preserve">    Build(ctx context.Context, group ingress.Group) (*core.Stack, error)</w:t>
        <w:br/>
        <w:t>}</w:t>
        <w:br/>
        <w:br/>
        <w:t>type StackDeployer interface {</w:t>
        <w:br/>
        <w:t xml:space="preserve">    Deploy(ctx context.Context, stack *core.Stack) (*ObservedStack, error)</w:t>
        <w:br/>
        <w:t>}</w:t>
        <w:br/>
        <w:br/>
        <w:t>type BackendResolver interface {</w:t>
        <w:br/>
        <w:t xml:space="preserve">    ResolveNode(ctx context.Context, node *corev1.Node) (ProviderTarget, error)</w:t>
        <w:br/>
        <w:t>}</w:t>
      </w:r>
    </w:p>
    <w:p>
      <w:pPr>
        <w:pStyle w:val="Heading1"/>
      </w:pPr>
      <w:r>
        <w:t>11. Error and retry contract</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pPr>
              <w:spacing w:after="0"/>
            </w:pPr>
            <w:r/>
            <w:r>
              <w:rPr>
                <w:b/>
                <w:sz w:val="16"/>
              </w:rPr>
              <w:t>Error category</w:t>
            </w:r>
          </w:p>
        </w:tc>
        <w:tc>
          <w:tcPr>
            <w:tcW w:type="dxa" w:w="5112"/>
            <w:shd w:fill="D9EAF7"/>
            <w:vAlign w:val="center"/>
          </w:tcPr>
          <w:p>
            <w:pPr>
              <w:spacing w:after="0"/>
            </w:pPr>
            <w:r/>
            <w:r>
              <w:rPr>
                <w:b/>
                <w:sz w:val="16"/>
              </w:rPr>
              <w:t>Controller behavior</w:t>
            </w:r>
          </w:p>
        </w:tc>
      </w:tr>
      <w:tr>
        <w:tc>
          <w:tcPr>
            <w:tcW w:type="dxa" w:w="5112"/>
            <w:vAlign w:val="center"/>
          </w:tcPr>
          <w:p>
            <w:pPr>
              <w:spacing w:after="0"/>
            </w:pPr>
            <w:r/>
            <w:r>
              <w:rPr>
                <w:b w:val="0"/>
                <w:sz w:val="15"/>
              </w:rPr>
              <w:t>Permanent configuration</w:t>
            </w:r>
          </w:p>
        </w:tc>
        <w:tc>
          <w:tcPr>
            <w:tcW w:type="dxa" w:w="5112"/>
            <w:vAlign w:val="center"/>
          </w:tcPr>
          <w:p>
            <w:pPr>
              <w:spacing w:after="0"/>
            </w:pPr>
            <w:r/>
            <w:r>
              <w:rPr>
                <w:b w:val="0"/>
                <w:sz w:val="15"/>
              </w:rPr>
              <w:t>No rapid retry; wait for Kubernetes change</w:t>
            </w:r>
          </w:p>
        </w:tc>
      </w:tr>
      <w:tr>
        <w:tc>
          <w:tcPr>
            <w:tcW w:type="dxa" w:w="5112"/>
            <w:vAlign w:val="center"/>
          </w:tcPr>
          <w:p>
            <w:pPr>
              <w:spacing w:after="0"/>
            </w:pPr>
            <w:r/>
            <w:r>
              <w:rPr>
                <w:b w:val="0"/>
                <w:sz w:val="15"/>
              </w:rPr>
              <w:t>Dependency not ready</w:t>
            </w:r>
          </w:p>
        </w:tc>
        <w:tc>
          <w:tcPr>
            <w:tcW w:type="dxa" w:w="5112"/>
            <w:vAlign w:val="center"/>
          </w:tcPr>
          <w:p>
            <w:pPr>
              <w:spacing w:after="0"/>
            </w:pPr>
            <w:r/>
            <w:r>
              <w:rPr>
                <w:b w:val="0"/>
                <w:sz w:val="15"/>
              </w:rPr>
              <w:t>Bounded RequeueAfter</w:t>
            </w:r>
          </w:p>
        </w:tc>
      </w:tr>
      <w:tr>
        <w:tc>
          <w:tcPr>
            <w:tcW w:type="dxa" w:w="5112"/>
            <w:vAlign w:val="center"/>
          </w:tcPr>
          <w:p>
            <w:pPr>
              <w:spacing w:after="0"/>
            </w:pPr>
            <w:r/>
            <w:r>
              <w:rPr>
                <w:b w:val="0"/>
                <w:sz w:val="15"/>
              </w:rPr>
              <w:t>Asynchronous CMP operation</w:t>
            </w:r>
          </w:p>
        </w:tc>
        <w:tc>
          <w:tcPr>
            <w:tcW w:type="dxa" w:w="5112"/>
            <w:vAlign w:val="center"/>
          </w:tcPr>
          <w:p>
            <w:pPr>
              <w:spacing w:after="0"/>
            </w:pPr>
            <w:r/>
            <w:r>
              <w:rPr>
                <w:b w:val="0"/>
                <w:sz w:val="15"/>
              </w:rPr>
              <w:t>Poll with bounded interval and timeout state</w:t>
            </w:r>
          </w:p>
        </w:tc>
      </w:tr>
      <w:tr>
        <w:tc>
          <w:tcPr>
            <w:tcW w:type="dxa" w:w="5112"/>
            <w:vAlign w:val="center"/>
          </w:tcPr>
          <w:p>
            <w:pPr>
              <w:spacing w:after="0"/>
            </w:pPr>
            <w:r/>
            <w:r>
              <w:rPr>
                <w:b w:val="0"/>
                <w:sz w:val="15"/>
              </w:rPr>
              <w:t>HTTP 429</w:t>
            </w:r>
          </w:p>
        </w:tc>
        <w:tc>
          <w:tcPr>
            <w:tcW w:type="dxa" w:w="5112"/>
            <w:vAlign w:val="center"/>
          </w:tcPr>
          <w:p>
            <w:pPr>
              <w:spacing w:after="0"/>
            </w:pPr>
            <w:r/>
            <w:r>
              <w:rPr>
                <w:b w:val="0"/>
                <w:sz w:val="15"/>
              </w:rPr>
              <w:t>Honor Retry-After</w:t>
            </w:r>
          </w:p>
        </w:tc>
      </w:tr>
      <w:tr>
        <w:tc>
          <w:tcPr>
            <w:tcW w:type="dxa" w:w="5112"/>
            <w:vAlign w:val="center"/>
          </w:tcPr>
          <w:p>
            <w:pPr>
              <w:spacing w:after="0"/>
            </w:pPr>
            <w:r/>
            <w:r>
              <w:rPr>
                <w:b w:val="0"/>
                <w:sz w:val="15"/>
              </w:rPr>
              <w:t>HTTP 401/403</w:t>
            </w:r>
          </w:p>
        </w:tc>
        <w:tc>
          <w:tcPr>
            <w:tcW w:type="dxa" w:w="5112"/>
            <w:vAlign w:val="center"/>
          </w:tcPr>
          <w:p>
            <w:pPr>
              <w:spacing w:after="0"/>
            </w:pPr>
            <w:r/>
            <w:r>
              <w:rPr>
                <w:b w:val="0"/>
                <w:sz w:val="15"/>
              </w:rPr>
              <w:t>Condition/Event and slow retry</w:t>
            </w:r>
          </w:p>
        </w:tc>
      </w:tr>
      <w:tr>
        <w:tc>
          <w:tcPr>
            <w:tcW w:type="dxa" w:w="5112"/>
            <w:vAlign w:val="center"/>
          </w:tcPr>
          <w:p>
            <w:pPr>
              <w:spacing w:after="0"/>
            </w:pPr>
            <w:r/>
            <w:r>
              <w:rPr>
                <w:b w:val="0"/>
                <w:sz w:val="15"/>
              </w:rPr>
              <w:t>Transport/5xx</w:t>
            </w:r>
          </w:p>
        </w:tc>
        <w:tc>
          <w:tcPr>
            <w:tcW w:type="dxa" w:w="5112"/>
            <w:vAlign w:val="center"/>
          </w:tcPr>
          <w:p>
            <w:pPr>
              <w:spacing w:after="0"/>
            </w:pPr>
            <w:r/>
            <w:r>
              <w:rPr>
                <w:b w:val="0"/>
                <w:sz w:val="15"/>
              </w:rPr>
              <w:t>controller-runtime backoff</w:t>
            </w:r>
          </w:p>
        </w:tc>
      </w:tr>
      <w:tr>
        <w:tc>
          <w:tcPr>
            <w:tcW w:type="dxa" w:w="5112"/>
            <w:vAlign w:val="center"/>
          </w:tcPr>
          <w:p>
            <w:pPr>
              <w:spacing w:after="0"/>
            </w:pPr>
            <w:r/>
            <w:r>
              <w:rPr>
                <w:b w:val="0"/>
                <w:sz w:val="15"/>
              </w:rPr>
              <w:t>404 during delete</w:t>
            </w:r>
          </w:p>
        </w:tc>
        <w:tc>
          <w:tcPr>
            <w:tcW w:type="dxa" w:w="5112"/>
            <w:vAlign w:val="center"/>
          </w:tcPr>
          <w:p>
            <w:pPr>
              <w:spacing w:after="0"/>
            </w:pPr>
            <w:r/>
            <w:r>
              <w:rPr>
                <w:b w:val="0"/>
                <w:sz w:val="15"/>
              </w:rPr>
              <w:t>Treat as success</w:t>
            </w:r>
          </w:p>
        </w:tc>
      </w:tr>
      <w:tr>
        <w:tc>
          <w:tcPr>
            <w:tcW w:type="dxa" w:w="5112"/>
            <w:vAlign w:val="center"/>
          </w:tcPr>
          <w:p>
            <w:pPr>
              <w:spacing w:after="0"/>
            </w:pPr>
            <w:r/>
            <w:r>
              <w:rPr>
                <w:b w:val="0"/>
                <w:sz w:val="15"/>
              </w:rPr>
              <w:t>Ownership conflict</w:t>
            </w:r>
          </w:p>
        </w:tc>
        <w:tc>
          <w:tcPr>
            <w:tcW w:type="dxa" w:w="5112"/>
            <w:vAlign w:val="center"/>
          </w:tcPr>
          <w:p>
            <w:pPr>
              <w:spacing w:after="0"/>
            </w:pPr>
            <w:r/>
            <w:r>
              <w:rPr>
                <w:b w:val="0"/>
                <w:sz w:val="15"/>
              </w:rPr>
              <w:t>Permanent until operator resolves collision</w:t>
            </w:r>
          </w:p>
        </w:tc>
      </w:tr>
      <w:tr>
        <w:tc>
          <w:tcPr>
            <w:tcW w:type="dxa" w:w="5112"/>
            <w:vAlign w:val="center"/>
          </w:tcPr>
          <w:p>
            <w:pPr>
              <w:spacing w:after="0"/>
            </w:pPr>
            <w:r/>
            <w:r>
              <w:rPr>
                <w:b w:val="0"/>
                <w:sz w:val="15"/>
              </w:rPr>
              <w:t>Lost create response</w:t>
            </w:r>
          </w:p>
        </w:tc>
        <w:tc>
          <w:tcPr>
            <w:tcW w:type="dxa" w:w="5112"/>
            <w:vAlign w:val="center"/>
          </w:tcPr>
          <w:p>
            <w:pPr>
              <w:spacing w:after="0"/>
            </w:pPr>
            <w:r/>
            <w:r>
              <w:rPr>
                <w:b w:val="0"/>
                <w:sz w:val="15"/>
              </w:rPr>
              <w:t>Rediscover by ownership/logical ID before another create</w:t>
            </w:r>
          </w:p>
        </w:tc>
      </w:tr>
    </w:tbl>
    <w:p>
      <w:pPr>
        <w:spacing w:after="0"/>
      </w:pPr>
    </w:p>
    <w:p>
      <w:pPr>
        <w:pStyle w:val="Heading1"/>
      </w:pPr>
      <w:r>
        <w:t>12. Architecture decisions fixed by Part 1</w:t>
      </w:r>
    </w:p>
    <w:p>
      <w:r>
        <w:t>1. The application LB is a dedicated Shoot controller installed by the Gardener extension lifecycle.</w:t>
      </w:r>
    </w:p>
    <w:p>
      <w:r>
        <w:t>2. Service and Ingress use separate thin controllers and shared deployment infrastructure.</w:t>
      </w:r>
    </w:p>
    <w:p>
      <w:r>
        <w:t>3. Ingress uses a group abstraction even for a one-member group.</w:t>
      </w:r>
    </w:p>
    <w:p>
      <w:r>
        <w:t>4. Every reconciliation builds a complete internal desired-state Stack before mutation.</w:t>
      </w:r>
    </w:p>
    <w:p>
      <w:r>
        <w:t>5. CMP mutation occurs only through resource-specific managers and typed clients.</w:t>
      </w:r>
    </w:p>
    <w:p>
      <w:r>
        <w:t>6. The decomposed LB Service/VIP/Virtual Server/Pool/Member API is the primary provider model.</w:t>
      </w:r>
    </w:p>
    <w:p>
      <w:r>
        <w:t>7. Ingress always includes an LB Service in the provider hierarchy.</w:t>
      </w:r>
    </w:p>
    <w:p>
      <w:r>
        <w:t>8. Initial backend mode is NodeIP:NodePort with CMP identity and backend-port resolution.</w:t>
      </w:r>
    </w:p>
    <w:p>
      <w:r>
        <w:t>9. Provider resource IDs are discovered, never guessed.</w:t>
      </w:r>
    </w:p>
    <w:p>
      <w:r>
        <w:t>10. Ownership is generated internally for every logical resource.</w:t>
      </w:r>
    </w:p>
    <w:p>
      <w:r>
        <w:t>11. Deterministic names supplement but never replace ownership proof.</w:t>
      </w:r>
    </w:p>
    <w:p>
      <w:r>
        <w:t>12. Static admission validation and provider-dependent reconciliation validation are separated.</w:t>
      </w:r>
    </w:p>
    <w:p>
      <w:r>
        <w:t>13. Backend-only changes do not recreate stable frontend resources.</w:t>
      </w:r>
    </w:p>
    <w:p>
      <w:r>
        <w:t>14. Unsupported capabilities are explicitly rejected or deferred.</w:t>
      </w:r>
    </w:p>
    <w:p>
      <w:pPr>
        <w:pStyle w:val="Heading1"/>
      </w:pPr>
      <w:r>
        <w:t>13. Source evidence used</w:t>
      </w:r>
    </w:p>
    <w:p>
      <w:pPr>
        <w:pStyle w:val="Heading2"/>
      </w:pPr>
      <w:r>
        <w:t>13.1 AWS repository</w:t>
      </w:r>
    </w:p>
    <w:p>
      <w:r>
        <w:t>controllers/service/service_controller.go; controllers/ingress/group_controller.go; controllers/*/eventhandlers; pkg/service/model_builder.go; pkg/ingress/model_builder.go; pkg/model/core; pkg/deploy/elbv2 managers.</w:t>
      </w:r>
    </w:p>
    <w:p>
      <w:pPr>
        <w:pStyle w:val="Heading2"/>
      </w:pPr>
      <w:r>
        <w:t>13.2 CMP Swagger</w:t>
      </w:r>
    </w:p>
    <w:p>
      <w:r>
        <w:t>compute-swagger.json load-balancer, LB Service, VIP, Virtual Server, pool, member, monitor, routing-rule, certificate, and network-port endpoints; network-manager.json network/subnet context.</w:t>
      </w:r>
    </w:p>
    <w:p>
      <w:pPr>
        <w:pStyle w:val="Heading2"/>
      </w:pPr>
      <w:r>
        <w:t>13.3 Existing Gardener F5 repository</w:t>
      </w:r>
    </w:p>
    <w:p>
      <w:r>
        <w:t>pkg/cmp/lbaas/client.go; pkg/f5/client.go; pkg/controller/lifecycle/extension_controller.go; pkg/apis/f5/v1alpha1/types.go. Used only for provider integration evidence.</w:t>
      </w:r>
    </w:p>
    <w:p>
      <w:pPr>
        <w:pStyle w:val="Heading2"/>
      </w:pPr>
      <w:r>
        <w:t>13.4 Previous LLD</w:t>
      </w:r>
    </w:p>
    <w:p>
      <w:r>
        <w:t>Useful requirements were retained and refined: thin controllers, builders, desired/observed separation, managers, backend resolution, ownership, finalizers, status, idempotency, observability, security, package design, and testing direction. Unverified assumptions were not carried forward.</w:t>
      </w:r>
    </w:p>
    <w:p>
      <w:pPr>
        <w:pStyle w:val="Heading1"/>
      </w:pPr>
      <w:r>
        <w:t>14. Scope of Part 2</w:t>
      </w:r>
    </w:p>
    <w:p>
      <w:r>
        <w:t>Part 2 will define the full internal desired-state model and low-level contracts: every resource struct, logical ID, dependency, normalization rule, ownership field, equality/diff rule, immutable-field replacement rule, and observed-state representation.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Target Architecture Baseline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Gardener F5 Application Load Balancer Extension - Part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0304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360" w:right="144"/>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Gardener F5 Application Load Balancer Extension - Part 1</dc:title>
  <dc:subject>Architecture basis, capability mapping, and target solution</dc:subject>
  <dc:creator>Architecture Design</dc:creator>
  <cp:keywords/>
  <dc:description>generated by python-docx</dc:description>
  <cp:lastModifiedBy/>
  <cp:revision>1</cp:revision>
  <dcterms:created xsi:type="dcterms:W3CDTF">2013-12-23T23:15:00Z</dcterms:created>
  <dcterms:modified xsi:type="dcterms:W3CDTF">2013-12-23T23:15:00Z</dcterms:modified>
  <cp:category/>
</cp:coreProperties>
</file>