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50"/>
        </w:rPr>
        <w:t>Gardener F5 Application Load Balancer Extension</w:t>
      </w:r>
    </w:p>
    <w:p>
      <w:pPr>
        <w:jc w:val="center"/>
      </w:pPr>
      <w:r>
        <w:rPr>
          <w:b/>
          <w:color w:val="2F5597"/>
          <w:sz w:val="38"/>
        </w:rPr>
        <w:t>Part 2 - Component Architecture and Internal Desired-State Model</w:t>
      </w:r>
    </w:p>
    <w:p>
      <w:pPr>
        <w:jc w:val="center"/>
      </w:pPr>
      <w:r>
        <w:br/>
        <w:t>Architecture and Low-Level Design</w:t>
        <w:br/>
        <w:t>Version 1.0 - Design Baseline</w:t>
        <w:br/>
        <w:t>17 July 2026</w:t>
      </w:r>
    </w:p>
    <w:p>
      <w:pPr>
        <w:jc w:val="center"/>
      </w:pPr>
      <w:r>
        <w:drawing>
          <wp:inline xmlns:a="http://schemas.openxmlformats.org/drawingml/2006/main" xmlns:pic="http://schemas.openxmlformats.org/drawingml/2006/picture">
            <wp:extent cx="6309360" cy="3532727"/>
            <wp:docPr id="1" name="Picture 1"/>
            <wp:cNvGraphicFramePr>
              <a:graphicFrameLocks noChangeAspect="1"/>
            </wp:cNvGraphicFramePr>
            <a:graphic>
              <a:graphicData uri="http://schemas.openxmlformats.org/drawingml/2006/picture">
                <pic:pic>
                  <pic:nvPicPr>
                    <pic:cNvPr id="0" name="component_architecture.png"/>
                    <pic:cNvPicPr/>
                  </pic:nvPicPr>
                  <pic:blipFill>
                    <a:blip r:embed="rId9"/>
                    <a:stretch>
                      <a:fillRect/>
                    </a:stretch>
                  </pic:blipFill>
                  <pic:spPr>
                    <a:xfrm>
                      <a:off x="0" y="0"/>
                      <a:ext cx="6309360" cy="3532727"/>
                    </a:xfrm>
                    <a:prstGeom prst="rect"/>
                  </pic:spPr>
                </pic:pic>
              </a:graphicData>
            </a:graphic>
          </wp:inline>
        </w:drawing>
      </w:r>
    </w:p>
    <w:p>
      <w:pPr>
        <w:jc w:val="center"/>
      </w:pPr>
      <w:r>
        <w:rPr>
          <w:i/>
          <w:sz w:val="16"/>
        </w:rPr>
        <w:t>Figure 2-1. Target layered architecture</w:t>
      </w:r>
    </w:p>
    <w:p>
      <w:r>
        <w:br w:type="page"/>
      </w:r>
    </w:p>
    <w:p>
      <w:pPr>
        <w:pStyle w:val="Heading1"/>
      </w:pPr>
      <w:r>
        <w:t>1. Purpose and Position in the Design Set</w:t>
      </w:r>
    </w:p>
    <w:p>
      <w:pPr>
        <w:spacing w:after="80"/>
      </w:pPr>
      <w:r>
        <w:t>This part defines the internal architecture that translates Kubernetes networking intent into CMP/F5 resources. It follows Part 1, which established the architecture basis and provider capability mapping. This document fixes the component boundaries, internal resource model, dependency rules, ownership contract, backend-resolution contract, and package-level interfaces that Parts 3 through 7 will implement in detail.</w:t>
      </w:r>
    </w:p>
    <w:p>
      <w:pPr>
        <w:spacing w:after="80"/>
      </w:pPr>
      <w:r>
        <w:t>The AWS Load Balancer Controller is used as an architectural reference, specifically for its thin reconcilers, dedicated model builders, stack-based desired state, resource-specific deployment managers, finalizer handling, and provider tracking. The design does not reproduce AWS-specific resources or behavior. CMP OpenAPI remains the authoritative provider capability contract. The existing Gardener F5 code is treated only as evidence for authentication, endpoint usage, request/response details, and integration constraints.</w:t>
      </w:r>
    </w:p>
    <w:p>
      <w:pPr>
        <w:pStyle w:val="Heading2"/>
      </w:pPr>
      <w:r>
        <w:t>1.1 Fixed architectural outcome</w:t>
      </w:r>
    </w:p>
    <w:p>
      <w:pPr>
        <w:pStyle w:val="CodeBlock"/>
      </w:pPr>
      <w:r>
        <w:t>Kubernetes objects</w:t>
        <w:br/>
        <w:t xml:space="preserve">    -&gt; thin reconcilers</w:t>
        <w:br/>
        <w:t xml:space="preserve">    -&gt; validation and backend resolution</w:t>
        <w:br/>
        <w:t xml:space="preserve">    -&gt; typed desired-state stack</w:t>
        <w:br/>
        <w:t xml:space="preserve">    -&gt; resource-specific deployment managers</w:t>
        <w:br/>
        <w:t xml:space="preserve">    -&gt; typed CMP clients</w:t>
        <w:br/>
        <w:t xml:space="preserve">    -&gt; CMP/F5</w:t>
      </w:r>
    </w:p>
    <w:p>
      <w:pPr>
        <w:pStyle w:val="ListBullet"/>
        <w:spacing w:after="40"/>
      </w:pPr>
      <w:r>
        <w:t>Controllers do not construct CMP payloads.</w:t>
      </w:r>
    </w:p>
    <w:p>
      <w:pPr>
        <w:pStyle w:val="ListBullet"/>
        <w:spacing w:after="40"/>
      </w:pPr>
      <w:r>
        <w:t>Builders do not mutate CMP.</w:t>
      </w:r>
    </w:p>
    <w:p>
      <w:pPr>
        <w:pStyle w:val="ListBullet"/>
        <w:spacing w:after="40"/>
      </w:pPr>
      <w:r>
        <w:t>Deployment managers do not interpret Kubernetes annotations.</w:t>
      </w:r>
    </w:p>
    <w:p>
      <w:pPr>
        <w:pStyle w:val="ListBullet"/>
        <w:spacing w:after="40"/>
      </w:pPr>
      <w:r>
        <w:t>CMP clients do not contain Kubernetes business rules.</w:t>
      </w:r>
    </w:p>
    <w:p>
      <w:pPr>
        <w:pStyle w:val="ListBullet"/>
        <w:spacing w:after="40"/>
      </w:pPr>
      <w:r>
        <w:t>Every managed provider object carries verifiable ownership metadata.</w:t>
      </w:r>
    </w:p>
    <w:p>
      <w:pPr>
        <w:pStyle w:val="ListBullet"/>
        <w:spacing w:after="40"/>
      </w:pPr>
      <w:r>
        <w:t>Correctness is based on reconciliation from durable Kubernetes and CMP state, never on controller memory.</w:t>
      </w:r>
    </w:p>
    <w:p>
      <w:pPr>
        <w:pStyle w:val="Heading2"/>
      </w:pPr>
      <w:r>
        <w:t>1.2 Scope of Part 2</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Included</w:t>
            </w:r>
          </w:p>
        </w:tc>
        <w:tc>
          <w:tcPr>
            <w:tcW w:type="dxa" w:w="5083"/>
            <w:shd w:fill="D9EAF7"/>
            <w:vAlign w:val="center"/>
          </w:tcPr>
          <w:p>
            <w:pPr>
              <w:spacing w:after="0" w:before="0" w:line="240" w:lineRule="auto"/>
            </w:pPr>
            <w:r>
              <w:rPr>
                <w:sz w:val="16"/>
              </w:rPr>
              <w:t>Deferred to later parts</w:t>
            </w:r>
          </w:p>
        </w:tc>
      </w:tr>
      <w:tr>
        <w:tc>
          <w:tcPr>
            <w:tcW w:type="dxa" w:w="5083"/>
            <w:vAlign w:val="top"/>
          </w:tcPr>
          <w:p>
            <w:pPr>
              <w:spacing w:after="0" w:before="0" w:line="240" w:lineRule="auto"/>
            </w:pPr>
            <w:r>
              <w:rPr>
                <w:sz w:val="16"/>
              </w:rPr>
              <w:t>Component boundaries; desired/observed model; backend resolution; ownership; finalizer architecture; deployment orchestration; package design; Go interfaces</w:t>
            </w:r>
          </w:p>
        </w:tc>
        <w:tc>
          <w:tcPr>
            <w:tcW w:type="dxa" w:w="5083"/>
            <w:vAlign w:val="top"/>
          </w:tcPr>
          <w:p>
            <w:pPr>
              <w:spacing w:after="0" w:before="0" w:line="240" w:lineRule="auto"/>
            </w:pPr>
            <w:r>
              <w:rPr>
                <w:sz w:val="16"/>
              </w:rPr>
              <w:t>Service-specific semantics and algorithms - Part 3</w:t>
            </w:r>
          </w:p>
        </w:tc>
      </w:tr>
      <w:tr>
        <w:tc>
          <w:tcPr>
            <w:tcW w:type="dxa" w:w="5083"/>
            <w:vAlign w:val="top"/>
          </w:tcPr>
          <w:p>
            <w:pPr>
              <w:spacing w:after="0" w:before="0" w:line="240" w:lineRule="auto"/>
            </w:pPr>
            <w:r>
              <w:rPr>
                <w:sz w:val="16"/>
              </w:rPr>
              <w:t>Shared foundations for Service and Ingress</w:t>
            </w:r>
          </w:p>
        </w:tc>
        <w:tc>
          <w:tcPr>
            <w:tcW w:type="dxa" w:w="5083"/>
            <w:vAlign w:val="top"/>
          </w:tcPr>
          <w:p>
            <w:pPr>
              <w:spacing w:after="0" w:before="0" w:line="240" w:lineRule="auto"/>
            </w:pPr>
            <w:r>
              <w:rPr>
                <w:sz w:val="16"/>
              </w:rPr>
              <w:t>Ingress rules, grouping, TLS details - Part 4</w:t>
            </w:r>
          </w:p>
        </w:tc>
      </w:tr>
      <w:tr>
        <w:tc>
          <w:tcPr>
            <w:tcW w:type="dxa" w:w="5083"/>
            <w:vAlign w:val="top"/>
          </w:tcPr>
          <w:p>
            <w:pPr>
              <w:spacing w:after="0" w:before="0" w:line="240" w:lineRule="auto"/>
            </w:pPr>
            <w:r>
              <w:rPr>
                <w:sz w:val="16"/>
              </w:rPr>
              <w:t>Provider-manager contracts and readiness gates</w:t>
            </w:r>
          </w:p>
        </w:tc>
        <w:tc>
          <w:tcPr>
            <w:tcW w:type="dxa" w:w="5083"/>
            <w:vAlign w:val="top"/>
          </w:tcPr>
          <w:p>
            <w:pPr>
              <w:spacing w:after="0" w:before="0" w:line="240" w:lineRule="auto"/>
            </w:pPr>
            <w:r>
              <w:rPr>
                <w:sz w:val="16"/>
              </w:rPr>
              <w:t>Full endpoint-by-endpoint client behavior - Part 5</w:t>
            </w:r>
          </w:p>
        </w:tc>
      </w:tr>
      <w:tr>
        <w:tc>
          <w:tcPr>
            <w:tcW w:type="dxa" w:w="5083"/>
            <w:vAlign w:val="top"/>
          </w:tcPr>
          <w:p>
            <w:pPr>
              <w:spacing w:after="0" w:before="0" w:line="240" w:lineRule="auto"/>
            </w:pPr>
            <w:r>
              <w:rPr>
                <w:sz w:val="16"/>
              </w:rPr>
              <w:t>Representative reconciliation sequence</w:t>
            </w:r>
          </w:p>
        </w:tc>
        <w:tc>
          <w:tcPr>
            <w:tcW w:type="dxa" w:w="5083"/>
            <w:vAlign w:val="top"/>
          </w:tcPr>
          <w:p>
            <w:pPr>
              <w:spacing w:after="0" w:before="0" w:line="240" w:lineRule="auto"/>
            </w:pPr>
            <w:r>
              <w:rPr>
                <w:sz w:val="16"/>
              </w:rPr>
              <w:t>All runtime sequences and state machines - Part 6</w:t>
            </w:r>
          </w:p>
        </w:tc>
      </w:tr>
      <w:tr>
        <w:tc>
          <w:tcPr>
            <w:tcW w:type="dxa" w:w="5083"/>
            <w:vAlign w:val="top"/>
          </w:tcPr>
          <w:p>
            <w:pPr>
              <w:spacing w:after="0" w:before="0" w:line="240" w:lineRule="auto"/>
            </w:pPr>
            <w:r>
              <w:rPr>
                <w:sz w:val="16"/>
              </w:rPr>
              <w:t>Implementation slices and package acceptance criteria</w:t>
            </w:r>
          </w:p>
        </w:tc>
        <w:tc>
          <w:tcPr>
            <w:tcW w:type="dxa" w:w="5083"/>
            <w:vAlign w:val="top"/>
          </w:tcPr>
          <w:p>
            <w:pPr>
              <w:spacing w:after="0" w:before="0" w:line="240" w:lineRule="auto"/>
            </w:pPr>
            <w:r>
              <w:rPr>
                <w:sz w:val="16"/>
              </w:rPr>
              <w:t>Complete migration and test execution plan - Part 7</w:t>
            </w:r>
          </w:p>
        </w:tc>
      </w:tr>
    </w:tbl>
    <w:p>
      <w:r>
        <w:br w:type="page"/>
      </w:r>
    </w:p>
    <w:p>
      <w:pPr>
        <w:pStyle w:val="Heading1"/>
      </w:pPr>
      <w:r>
        <w:t>2. Architectural Evidence and Adaptation Rules</w:t>
      </w:r>
    </w:p>
    <w:p>
      <w:pPr>
        <w:pStyle w:val="Heading2"/>
      </w:pPr>
      <w:r>
        <w:t>2.1 Patterns adopted from AWS Load Balancer Controller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AWS LBC pattern</w:t>
            </w:r>
          </w:p>
        </w:tc>
        <w:tc>
          <w:tcPr>
            <w:tcW w:type="dxa" w:w="3389"/>
            <w:shd w:fill="D9EAF7"/>
            <w:vAlign w:val="center"/>
          </w:tcPr>
          <w:p>
            <w:pPr>
              <w:spacing w:after="0" w:before="0" w:line="240" w:lineRule="auto"/>
            </w:pPr>
            <w:r>
              <w:rPr>
                <w:sz w:val="16"/>
              </w:rPr>
              <w:t>Reason it is proven</w:t>
            </w:r>
          </w:p>
        </w:tc>
        <w:tc>
          <w:tcPr>
            <w:tcW w:type="dxa" w:w="3389"/>
            <w:shd w:fill="D9EAF7"/>
            <w:vAlign w:val="center"/>
          </w:tcPr>
          <w:p>
            <w:pPr>
              <w:spacing w:after="0" w:before="0" w:line="240" w:lineRule="auto"/>
            </w:pPr>
            <w:r>
              <w:rPr>
                <w:sz w:val="16"/>
              </w:rPr>
              <w:t>F5/CMP adaptation</w:t>
            </w:r>
          </w:p>
        </w:tc>
      </w:tr>
      <w:tr>
        <w:tc>
          <w:tcPr>
            <w:tcW w:type="dxa" w:w="3389"/>
            <w:vAlign w:val="top"/>
          </w:tcPr>
          <w:p>
            <w:pPr>
              <w:spacing w:after="0" w:before="0" w:line="240" w:lineRule="auto"/>
            </w:pPr>
            <w:r>
              <w:rPr>
                <w:sz w:val="16"/>
              </w:rPr>
              <w:t>Separate Service reconciler and Ingress-group reconciler</w:t>
            </w:r>
          </w:p>
        </w:tc>
        <w:tc>
          <w:tcPr>
            <w:tcW w:type="dxa" w:w="3389"/>
            <w:vAlign w:val="top"/>
          </w:tcPr>
          <w:p>
            <w:pPr>
              <w:spacing w:after="0" w:before="0" w:line="240" w:lineRule="auto"/>
            </w:pPr>
            <w:r>
              <w:rPr>
                <w:sz w:val="16"/>
              </w:rPr>
              <w:t>Different Kubernetes ownership, events, grouping, status and deletion semantics</w:t>
            </w:r>
          </w:p>
        </w:tc>
        <w:tc>
          <w:tcPr>
            <w:tcW w:type="dxa" w:w="3389"/>
            <w:vAlign w:val="top"/>
          </w:tcPr>
          <w:p>
            <w:pPr>
              <w:spacing w:after="0" w:before="0" w:line="240" w:lineRule="auto"/>
            </w:pPr>
            <w:r>
              <w:rPr>
                <w:sz w:val="16"/>
              </w:rPr>
              <w:t>Keep independent controllers/builders; share model, deployer, resolver and clients</w:t>
            </w:r>
          </w:p>
        </w:tc>
      </w:tr>
      <w:tr>
        <w:tc>
          <w:tcPr>
            <w:tcW w:type="dxa" w:w="3389"/>
            <w:vAlign w:val="top"/>
          </w:tcPr>
          <w:p>
            <w:pPr>
              <w:spacing w:after="0" w:before="0" w:line="240" w:lineRule="auto"/>
            </w:pPr>
            <w:r>
              <w:rPr>
                <w:sz w:val="16"/>
              </w:rPr>
              <w:t>ModelBuilder.Build returns a complete stack</w:t>
            </w:r>
          </w:p>
        </w:tc>
        <w:tc>
          <w:tcPr>
            <w:tcW w:type="dxa" w:w="3389"/>
            <w:vAlign w:val="top"/>
          </w:tcPr>
          <w:p>
            <w:pPr>
              <w:spacing w:after="0" w:before="0" w:line="240" w:lineRule="auto"/>
            </w:pPr>
            <w:r>
              <w:rPr>
                <w:sz w:val="16"/>
              </w:rPr>
              <w:t>Provider operations are separated from Kubernetes interpretation</w:t>
            </w:r>
          </w:p>
        </w:tc>
        <w:tc>
          <w:tcPr>
            <w:tcW w:type="dxa" w:w="3389"/>
            <w:vAlign w:val="top"/>
          </w:tcPr>
          <w:p>
            <w:pPr>
              <w:spacing w:after="0" w:before="0" w:line="240" w:lineRule="auto"/>
            </w:pPr>
            <w:r>
              <w:rPr>
                <w:sz w:val="16"/>
              </w:rPr>
              <w:t>Build an F5 Stack with LBService, VIP, VirtualServers, Pools, Members, Monitors, Rules and Certificates</w:t>
            </w:r>
          </w:p>
        </w:tc>
      </w:tr>
      <w:tr>
        <w:tc>
          <w:tcPr>
            <w:tcW w:type="dxa" w:w="3389"/>
            <w:vAlign w:val="top"/>
          </w:tcPr>
          <w:p>
            <w:pPr>
              <w:spacing w:after="0" w:before="0" w:line="240" w:lineRule="auto"/>
            </w:pPr>
            <w:r>
              <w:rPr>
                <w:sz w:val="16"/>
              </w:rPr>
              <w:t>StackDeployer deploys resource graph</w:t>
            </w:r>
          </w:p>
        </w:tc>
        <w:tc>
          <w:tcPr>
            <w:tcW w:type="dxa" w:w="3389"/>
            <w:vAlign w:val="top"/>
          </w:tcPr>
          <w:p>
            <w:pPr>
              <w:spacing w:after="0" w:before="0" w:line="240" w:lineRule="auto"/>
            </w:pPr>
            <w:r>
              <w:rPr>
                <w:sz w:val="16"/>
              </w:rPr>
              <w:t>Resource ordering and provider reconciliation are centralized</w:t>
            </w:r>
          </w:p>
        </w:tc>
        <w:tc>
          <w:tcPr>
            <w:tcW w:type="dxa" w:w="3389"/>
            <w:vAlign w:val="top"/>
          </w:tcPr>
          <w:p>
            <w:pPr>
              <w:spacing w:after="0" w:before="0" w:line="240" w:lineRule="auto"/>
            </w:pPr>
            <w:r>
              <w:rPr>
                <w:sz w:val="16"/>
              </w:rPr>
              <w:t>CMP StackDeployer coordinates typed managers and asynchronous readiness</w:t>
            </w:r>
          </w:p>
        </w:tc>
      </w:tr>
      <w:tr>
        <w:tc>
          <w:tcPr>
            <w:tcW w:type="dxa" w:w="3389"/>
            <w:vAlign w:val="top"/>
          </w:tcPr>
          <w:p>
            <w:pPr>
              <w:spacing w:after="0" w:before="0" w:line="240" w:lineRule="auto"/>
            </w:pPr>
            <w:r>
              <w:rPr>
                <w:sz w:val="16"/>
              </w:rPr>
              <w:t>Resource-specific managers/synthesizers</w:t>
            </w:r>
          </w:p>
        </w:tc>
        <w:tc>
          <w:tcPr>
            <w:tcW w:type="dxa" w:w="3389"/>
            <w:vAlign w:val="top"/>
          </w:tcPr>
          <w:p>
            <w:pPr>
              <w:spacing w:after="0" w:before="0" w:line="240" w:lineRule="auto"/>
            </w:pPr>
            <w:r>
              <w:rPr>
                <w:sz w:val="16"/>
              </w:rPr>
              <w:t>Each provider resource has focused diff and lifecycle logic</w:t>
            </w:r>
          </w:p>
        </w:tc>
        <w:tc>
          <w:tcPr>
            <w:tcW w:type="dxa" w:w="3389"/>
            <w:vAlign w:val="top"/>
          </w:tcPr>
          <w:p>
            <w:pPr>
              <w:spacing w:after="0" w:before="0" w:line="240" w:lineRule="auto"/>
            </w:pPr>
            <w:r>
              <w:rPr>
                <w:sz w:val="16"/>
              </w:rPr>
              <w:t>LBServiceManager, VIPManager, VirtualServerManager, PoolManager, MemberManager, MonitorManager, RoutingRuleManager, CertificateManager</w:t>
            </w:r>
          </w:p>
        </w:tc>
      </w:tr>
      <w:tr>
        <w:tc>
          <w:tcPr>
            <w:tcW w:type="dxa" w:w="3389"/>
            <w:vAlign w:val="top"/>
          </w:tcPr>
          <w:p>
            <w:pPr>
              <w:spacing w:after="0" w:before="0" w:line="240" w:lineRule="auto"/>
            </w:pPr>
            <w:r>
              <w:rPr>
                <w:sz w:val="16"/>
              </w:rPr>
              <w:t>Finalizers around external-resource cleanup</w:t>
            </w:r>
          </w:p>
        </w:tc>
        <w:tc>
          <w:tcPr>
            <w:tcW w:type="dxa" w:w="3389"/>
            <w:vAlign w:val="top"/>
          </w:tcPr>
          <w:p>
            <w:pPr>
              <w:spacing w:after="0" w:before="0" w:line="240" w:lineRule="auto"/>
            </w:pPr>
            <w:r>
              <w:rPr>
                <w:sz w:val="16"/>
              </w:rPr>
              <w:t>Kubernetes object cannot vanish before cloud cleanup</w:t>
            </w:r>
          </w:p>
        </w:tc>
        <w:tc>
          <w:tcPr>
            <w:tcW w:type="dxa" w:w="3389"/>
            <w:vAlign w:val="top"/>
          </w:tcPr>
          <w:p>
            <w:pPr>
              <w:spacing w:after="0" w:before="0" w:line="240" w:lineRule="auto"/>
            </w:pPr>
            <w:r>
              <w:rPr>
                <w:sz w:val="16"/>
              </w:rPr>
              <w:t>Service finalizer and group-aware Ingress finalizers</w:t>
            </w:r>
          </w:p>
        </w:tc>
      </w:tr>
      <w:tr>
        <w:tc>
          <w:tcPr>
            <w:tcW w:type="dxa" w:w="3389"/>
            <w:vAlign w:val="top"/>
          </w:tcPr>
          <w:p>
            <w:pPr>
              <w:spacing w:after="0" w:before="0" w:line="240" w:lineRule="auto"/>
            </w:pPr>
            <w:r>
              <w:rPr>
                <w:sz w:val="16"/>
              </w:rPr>
              <w:t>Tracking metadata/tags</w:t>
            </w:r>
          </w:p>
        </w:tc>
        <w:tc>
          <w:tcPr>
            <w:tcW w:type="dxa" w:w="3389"/>
            <w:vAlign w:val="top"/>
          </w:tcPr>
          <w:p>
            <w:pPr>
              <w:spacing w:after="0" w:before="0" w:line="240" w:lineRule="auto"/>
            </w:pPr>
            <w:r>
              <w:rPr>
                <w:sz w:val="16"/>
              </w:rPr>
              <w:t>Safe discovery, adoption and deletion</w:t>
            </w:r>
          </w:p>
        </w:tc>
        <w:tc>
          <w:tcPr>
            <w:tcW w:type="dxa" w:w="3389"/>
            <w:vAlign w:val="top"/>
          </w:tcPr>
          <w:p>
            <w:pPr>
              <w:spacing w:after="0" w:before="0" w:line="240" w:lineRule="auto"/>
            </w:pPr>
            <w:r>
              <w:rPr>
                <w:sz w:val="16"/>
              </w:rPr>
              <w:t>CMP labels where supported plus deterministic ownership envelope</w:t>
            </w:r>
          </w:p>
        </w:tc>
      </w:tr>
      <w:tr>
        <w:tc>
          <w:tcPr>
            <w:tcW w:type="dxa" w:w="3389"/>
            <w:vAlign w:val="top"/>
          </w:tcPr>
          <w:p>
            <w:pPr>
              <w:spacing w:after="0" w:before="0" w:line="240" w:lineRule="auto"/>
            </w:pPr>
            <w:r>
              <w:rPr>
                <w:sz w:val="16"/>
              </w:rPr>
              <w:t>Event handlers map related-resource changes to owners</w:t>
            </w:r>
          </w:p>
        </w:tc>
        <w:tc>
          <w:tcPr>
            <w:tcW w:type="dxa" w:w="3389"/>
            <w:vAlign w:val="top"/>
          </w:tcPr>
          <w:p>
            <w:pPr>
              <w:spacing w:after="0" w:before="0" w:line="240" w:lineRule="auto"/>
            </w:pPr>
            <w:r>
              <w:rPr>
                <w:sz w:val="16"/>
              </w:rPr>
              <w:t>Endpoint, Service, Secret and class changes enqueue correct reconciliations</w:t>
            </w:r>
          </w:p>
        </w:tc>
        <w:tc>
          <w:tcPr>
            <w:tcW w:type="dxa" w:w="3389"/>
            <w:vAlign w:val="top"/>
          </w:tcPr>
          <w:p>
            <w:pPr>
              <w:spacing w:after="0" w:before="0" w:line="240" w:lineRule="auto"/>
            </w:pPr>
            <w:r>
              <w:rPr>
                <w:sz w:val="16"/>
              </w:rPr>
              <w:t>Explicit watch/index graph for Service and Ingress</w:t>
            </w:r>
          </w:p>
        </w:tc>
      </w:tr>
    </w:tbl>
    <w:p>
      <w:pPr>
        <w:pStyle w:val="Heading2"/>
      </w:pPr>
      <w:r>
        <w:t>2.2 Patterns not copied blindly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AWS-specific element</w:t>
            </w:r>
          </w:p>
        </w:tc>
        <w:tc>
          <w:tcPr>
            <w:tcW w:type="dxa" w:w="5083"/>
            <w:shd w:fill="D9EAF7"/>
            <w:vAlign w:val="center"/>
          </w:tcPr>
          <w:p>
            <w:pPr>
              <w:spacing w:after="0" w:before="0" w:line="240" w:lineRule="auto"/>
            </w:pPr>
            <w:r>
              <w:rPr>
                <w:sz w:val="16"/>
              </w:rPr>
              <w:t>Decision</w:t>
            </w:r>
          </w:p>
        </w:tc>
      </w:tr>
      <w:tr>
        <w:tc>
          <w:tcPr>
            <w:tcW w:type="dxa" w:w="5083"/>
            <w:vAlign w:val="top"/>
          </w:tcPr>
          <w:p>
            <w:pPr>
              <w:spacing w:after="0" w:before="0" w:line="240" w:lineRule="auto"/>
            </w:pPr>
            <w:r>
              <w:rPr>
                <w:sz w:val="16"/>
              </w:rPr>
              <w:t>ELBv2 LoadBalancer/Listener/TargetGroup schemas</w:t>
            </w:r>
          </w:p>
        </w:tc>
        <w:tc>
          <w:tcPr>
            <w:tcW w:type="dxa" w:w="5083"/>
            <w:vAlign w:val="top"/>
          </w:tcPr>
          <w:p>
            <w:pPr>
              <w:spacing w:after="0" w:before="0" w:line="240" w:lineRule="auto"/>
            </w:pPr>
            <w:r>
              <w:rPr>
                <w:sz w:val="16"/>
              </w:rPr>
              <w:t>Replace with CMP LB Service/VIP/Virtual Server/Pool/Member schemas</w:t>
            </w:r>
          </w:p>
        </w:tc>
      </w:tr>
      <w:tr>
        <w:tc>
          <w:tcPr>
            <w:tcW w:type="dxa" w:w="5083"/>
            <w:vAlign w:val="top"/>
          </w:tcPr>
          <w:p>
            <w:pPr>
              <w:spacing w:after="0" w:before="0" w:line="240" w:lineRule="auto"/>
            </w:pPr>
            <w:r>
              <w:rPr>
                <w:sz w:val="16"/>
              </w:rPr>
              <w:t>Security-group synthesis</w:t>
            </w:r>
          </w:p>
        </w:tc>
        <w:tc>
          <w:tcPr>
            <w:tcW w:type="dxa" w:w="5083"/>
            <w:vAlign w:val="top"/>
          </w:tcPr>
          <w:p>
            <w:pPr>
              <w:spacing w:after="0" w:before="0" w:line="240" w:lineRule="auto"/>
            </w:pPr>
            <w:r>
              <w:rPr>
                <w:sz w:val="16"/>
              </w:rPr>
              <w:t>Not part of the core F5 object model; integrate only where Airtel network policy requires it</w:t>
            </w:r>
          </w:p>
        </w:tc>
      </w:tr>
      <w:tr>
        <w:tc>
          <w:tcPr>
            <w:tcW w:type="dxa" w:w="5083"/>
            <w:vAlign w:val="top"/>
          </w:tcPr>
          <w:p>
            <w:pPr>
              <w:spacing w:after="0" w:before="0" w:line="240" w:lineRule="auto"/>
            </w:pPr>
            <w:r>
              <w:rPr>
                <w:sz w:val="16"/>
              </w:rPr>
              <w:t>AWS subnet/VPC discovery rules</w:t>
            </w:r>
          </w:p>
        </w:tc>
        <w:tc>
          <w:tcPr>
            <w:tcW w:type="dxa" w:w="5083"/>
            <w:vAlign w:val="top"/>
          </w:tcPr>
          <w:p>
            <w:pPr>
              <w:spacing w:after="0" w:before="0" w:line="240" w:lineRule="auto"/>
            </w:pPr>
            <w:r>
              <w:rPr>
                <w:sz w:val="16"/>
              </w:rPr>
              <w:t>Use Gardener Shoot configuration and CMP network identifiers</w:t>
            </w:r>
          </w:p>
        </w:tc>
      </w:tr>
      <w:tr>
        <w:tc>
          <w:tcPr>
            <w:tcW w:type="dxa" w:w="5083"/>
            <w:vAlign w:val="top"/>
          </w:tcPr>
          <w:p>
            <w:pPr>
              <w:spacing w:after="0" w:before="0" w:line="240" w:lineRule="auto"/>
            </w:pPr>
            <w:r>
              <w:rPr>
                <w:sz w:val="16"/>
              </w:rPr>
              <w:t>AWS target registration modes</w:t>
            </w:r>
          </w:p>
        </w:tc>
        <w:tc>
          <w:tcPr>
            <w:tcW w:type="dxa" w:w="5083"/>
            <w:vAlign w:val="top"/>
          </w:tcPr>
          <w:p>
            <w:pPr>
              <w:spacing w:after="0" w:before="0" w:line="240" w:lineRule="auto"/>
            </w:pPr>
            <w:r>
              <w:rPr>
                <w:sz w:val="16"/>
              </w:rPr>
              <w:t>Initial target mode is node/VM plus NodePort because CMP members require VM/network identity</w:t>
            </w:r>
          </w:p>
        </w:tc>
      </w:tr>
      <w:tr>
        <w:tc>
          <w:tcPr>
            <w:tcW w:type="dxa" w:w="5083"/>
            <w:vAlign w:val="top"/>
          </w:tcPr>
          <w:p>
            <w:pPr>
              <w:spacing w:after="0" w:before="0" w:line="240" w:lineRule="auto"/>
            </w:pPr>
            <w:r>
              <w:rPr>
                <w:sz w:val="16"/>
              </w:rPr>
              <w:t>AWS tagging semantics</w:t>
            </w:r>
          </w:p>
        </w:tc>
        <w:tc>
          <w:tcPr>
            <w:tcW w:type="dxa" w:w="5083"/>
            <w:vAlign w:val="top"/>
          </w:tcPr>
          <w:p>
            <w:pPr>
              <w:spacing w:after="0" w:before="0" w:line="240" w:lineRule="auto"/>
            </w:pPr>
            <w:r>
              <w:rPr>
                <w:sz w:val="16"/>
              </w:rPr>
              <w:t>Use CMP labels/description fields and ownership verification compatible with Swagger</w:t>
            </w:r>
          </w:p>
        </w:tc>
      </w:tr>
      <w:tr>
        <w:tc>
          <w:tcPr>
            <w:tcW w:type="dxa" w:w="5083"/>
            <w:vAlign w:val="top"/>
          </w:tcPr>
          <w:p>
            <w:pPr>
              <w:spacing w:after="0" w:before="0" w:line="240" w:lineRule="auto"/>
            </w:pPr>
            <w:r>
              <w:rPr>
                <w:sz w:val="16"/>
              </w:rPr>
              <w:t>ALB listener action JSON</w:t>
            </w:r>
          </w:p>
        </w:tc>
        <w:tc>
          <w:tcPr>
            <w:tcW w:type="dxa" w:w="5083"/>
            <w:vAlign w:val="top"/>
          </w:tcPr>
          <w:p>
            <w:pPr>
              <w:spacing w:after="0" w:before="0" w:line="240" w:lineRule="auto"/>
            </w:pPr>
            <w:r>
              <w:rPr>
                <w:sz w:val="16"/>
              </w:rPr>
              <w:t>Translate Ingress routing semantics to CMP routing-rule API and default-pool operation</w:t>
            </w:r>
          </w:p>
        </w:tc>
      </w:tr>
    </w:tbl>
    <w:p>
      <w:r>
        <w:br w:type="page"/>
      </w:r>
    </w:p>
    <w:p>
      <w:pPr>
        <w:pStyle w:val="Heading1"/>
      </w:pPr>
      <w:r>
        <w:t>3. Target Component Architecture</w:t>
      </w:r>
    </w:p>
    <w:p>
      <w:pPr>
        <w:jc w:val="center"/>
      </w:pPr>
      <w:r>
        <w:drawing>
          <wp:inline xmlns:a="http://schemas.openxmlformats.org/drawingml/2006/main" xmlns:pic="http://schemas.openxmlformats.org/drawingml/2006/picture">
            <wp:extent cx="6309360" cy="3532727"/>
            <wp:docPr id="2" name="Picture 2"/>
            <wp:cNvGraphicFramePr>
              <a:graphicFrameLocks noChangeAspect="1"/>
            </wp:cNvGraphicFramePr>
            <a:graphic>
              <a:graphicData uri="http://schemas.openxmlformats.org/drawingml/2006/picture">
                <pic:pic>
                  <pic:nvPicPr>
                    <pic:cNvPr id="0" name="component_architecture.png"/>
                    <pic:cNvPicPr/>
                  </pic:nvPicPr>
                  <pic:blipFill>
                    <a:blip r:embed="rId9"/>
                    <a:stretch>
                      <a:fillRect/>
                    </a:stretch>
                  </pic:blipFill>
                  <pic:spPr>
                    <a:xfrm>
                      <a:off x="0" y="0"/>
                      <a:ext cx="6309360" cy="3532727"/>
                    </a:xfrm>
                    <a:prstGeom prst="rect"/>
                  </pic:spPr>
                </pic:pic>
              </a:graphicData>
            </a:graphic>
          </wp:inline>
        </w:drawing>
      </w:r>
    </w:p>
    <w:p>
      <w:pPr>
        <w:jc w:val="center"/>
      </w:pPr>
      <w:r>
        <w:rPr>
          <w:i/>
          <w:sz w:val="16"/>
        </w:rPr>
        <w:t>Figure 2-2. Layered component architecture</w:t>
      </w:r>
    </w:p>
    <w:p>
      <w:pPr>
        <w:spacing w:after="80"/>
      </w:pPr>
      <w:r>
        <w:t>Each layer owns one type of decision. Downward dependencies are permitted; upward dependencies are prohibited. Cross-layer shortcuts, such as a controller importing HTTP transport types or a CMP client reading Kubernetes annotations, are architecture violations.</w:t>
      </w:r>
    </w:p>
    <w:p>
      <w:pPr>
        <w:pStyle w:val="Heading2"/>
      </w:pPr>
      <w:r>
        <w:t>3.1 Component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Component</w:t>
            </w:r>
          </w:p>
        </w:tc>
        <w:tc>
          <w:tcPr>
            <w:tcW w:type="dxa" w:w="3389"/>
            <w:shd w:fill="D9EAF7"/>
            <w:vAlign w:val="center"/>
          </w:tcPr>
          <w:p>
            <w:pPr>
              <w:spacing w:after="0" w:before="0" w:line="240" w:lineRule="auto"/>
            </w:pPr>
            <w:r>
              <w:rPr>
                <w:sz w:val="16"/>
              </w:rPr>
              <w:t>Primary responsibility</w:t>
            </w:r>
          </w:p>
        </w:tc>
        <w:tc>
          <w:tcPr>
            <w:tcW w:type="dxa" w:w="3389"/>
            <w:shd w:fill="D9EAF7"/>
            <w:vAlign w:val="center"/>
          </w:tcPr>
          <w:p>
            <w:pPr>
              <w:spacing w:after="0" w:before="0" w:line="240" w:lineRule="auto"/>
            </w:pPr>
            <w:r>
              <w:rPr>
                <w:sz w:val="16"/>
              </w:rPr>
              <w:t>Must not do</w:t>
            </w:r>
          </w:p>
        </w:tc>
      </w:tr>
      <w:tr>
        <w:tc>
          <w:tcPr>
            <w:tcW w:type="dxa" w:w="3389"/>
            <w:vAlign w:val="top"/>
          </w:tcPr>
          <w:p>
            <w:pPr>
              <w:spacing w:after="0" w:before="0" w:line="240" w:lineRule="auto"/>
            </w:pPr>
            <w:r>
              <w:rPr>
                <w:sz w:val="16"/>
              </w:rPr>
              <w:t>Controller Manager</w:t>
            </w:r>
          </w:p>
        </w:tc>
        <w:tc>
          <w:tcPr>
            <w:tcW w:type="dxa" w:w="3389"/>
            <w:vAlign w:val="top"/>
          </w:tcPr>
          <w:p>
            <w:pPr>
              <w:spacing w:after="0" w:before="0" w:line="240" w:lineRule="auto"/>
            </w:pPr>
            <w:r>
              <w:rPr>
                <w:sz w:val="16"/>
              </w:rPr>
              <w:t>Wiring, leader election, health, metrics, configuration, client construction</w:t>
            </w:r>
          </w:p>
        </w:tc>
        <w:tc>
          <w:tcPr>
            <w:tcW w:type="dxa" w:w="3389"/>
            <w:vAlign w:val="top"/>
          </w:tcPr>
          <w:p>
            <w:pPr>
              <w:spacing w:after="0" w:before="0" w:line="240" w:lineRule="auto"/>
            </w:pPr>
            <w:r>
              <w:rPr>
                <w:sz w:val="16"/>
              </w:rPr>
              <w:t>Load-balancer business logic</w:t>
            </w:r>
          </w:p>
        </w:tc>
      </w:tr>
      <w:tr>
        <w:tc>
          <w:tcPr>
            <w:tcW w:type="dxa" w:w="3389"/>
            <w:vAlign w:val="top"/>
          </w:tcPr>
          <w:p>
            <w:pPr>
              <w:spacing w:after="0" w:before="0" w:line="240" w:lineRule="auto"/>
            </w:pPr>
            <w:r>
              <w:rPr>
                <w:sz w:val="16"/>
              </w:rPr>
              <w:t>ServiceReconciler</w:t>
            </w:r>
          </w:p>
        </w:tc>
        <w:tc>
          <w:tcPr>
            <w:tcW w:type="dxa" w:w="3389"/>
            <w:vAlign w:val="top"/>
          </w:tcPr>
          <w:p>
            <w:pPr>
              <w:spacing w:after="0" w:before="0" w:line="240" w:lineRule="auto"/>
            </w:pPr>
            <w:r>
              <w:rPr>
                <w:sz w:val="16"/>
              </w:rPr>
              <w:t>Claim Service, coordinate finalizer/build/deploy/status</w:t>
            </w:r>
          </w:p>
        </w:tc>
        <w:tc>
          <w:tcPr>
            <w:tcW w:type="dxa" w:w="3389"/>
            <w:vAlign w:val="top"/>
          </w:tcPr>
          <w:p>
            <w:pPr>
              <w:spacing w:after="0" w:before="0" w:line="240" w:lineRule="auto"/>
            </w:pPr>
            <w:r>
              <w:rPr>
                <w:sz w:val="16"/>
              </w:rPr>
              <w:t>Construct provider payloads</w:t>
            </w:r>
          </w:p>
        </w:tc>
      </w:tr>
      <w:tr>
        <w:tc>
          <w:tcPr>
            <w:tcW w:type="dxa" w:w="3389"/>
            <w:vAlign w:val="top"/>
          </w:tcPr>
          <w:p>
            <w:pPr>
              <w:spacing w:after="0" w:before="0" w:line="240" w:lineRule="auto"/>
            </w:pPr>
            <w:r>
              <w:rPr>
                <w:sz w:val="16"/>
              </w:rPr>
              <w:t>IngressGroupReconciler</w:t>
            </w:r>
          </w:p>
        </w:tc>
        <w:tc>
          <w:tcPr>
            <w:tcW w:type="dxa" w:w="3389"/>
            <w:vAlign w:val="top"/>
          </w:tcPr>
          <w:p>
            <w:pPr>
              <w:spacing w:after="0" w:before="0" w:line="240" w:lineRule="auto"/>
            </w:pPr>
            <w:r>
              <w:rPr>
                <w:sz w:val="16"/>
              </w:rPr>
              <w:t>Load group, coordinate group finalizers/build/deploy/status</w:t>
            </w:r>
          </w:p>
        </w:tc>
        <w:tc>
          <w:tcPr>
            <w:tcW w:type="dxa" w:w="3389"/>
            <w:vAlign w:val="top"/>
          </w:tcPr>
          <w:p>
            <w:pPr>
              <w:spacing w:after="0" w:before="0" w:line="240" w:lineRule="auto"/>
            </w:pPr>
            <w:r>
              <w:rPr>
                <w:sz w:val="16"/>
              </w:rPr>
              <w:t>Implement route translation itself</w:t>
            </w:r>
          </w:p>
        </w:tc>
      </w:tr>
      <w:tr>
        <w:tc>
          <w:tcPr>
            <w:tcW w:type="dxa" w:w="3389"/>
            <w:vAlign w:val="top"/>
          </w:tcPr>
          <w:p>
            <w:pPr>
              <w:spacing w:after="0" w:before="0" w:line="240" w:lineRule="auto"/>
            </w:pPr>
            <w:r>
              <w:rPr>
                <w:sz w:val="16"/>
              </w:rPr>
              <w:t>Claim Filter</w:t>
            </w:r>
          </w:p>
        </w:tc>
        <w:tc>
          <w:tcPr>
            <w:tcW w:type="dxa" w:w="3389"/>
            <w:vAlign w:val="top"/>
          </w:tcPr>
          <w:p>
            <w:pPr>
              <w:spacing w:after="0" w:before="0" w:line="240" w:lineRule="auto"/>
            </w:pPr>
            <w:r>
              <w:rPr>
                <w:sz w:val="16"/>
              </w:rPr>
              <w:t>Determine whether an object belongs to this controller</w:t>
            </w:r>
          </w:p>
        </w:tc>
        <w:tc>
          <w:tcPr>
            <w:tcW w:type="dxa" w:w="3389"/>
            <w:vAlign w:val="top"/>
          </w:tcPr>
          <w:p>
            <w:pPr>
              <w:spacing w:after="0" w:before="0" w:line="240" w:lineRule="auto"/>
            </w:pPr>
            <w:r>
              <w:rPr>
                <w:sz w:val="16"/>
              </w:rPr>
              <w:t>Mutate objects or provider state</w:t>
            </w:r>
          </w:p>
        </w:tc>
      </w:tr>
      <w:tr>
        <w:tc>
          <w:tcPr>
            <w:tcW w:type="dxa" w:w="3389"/>
            <w:vAlign w:val="top"/>
          </w:tcPr>
          <w:p>
            <w:pPr>
              <w:spacing w:after="0" w:before="0" w:line="240" w:lineRule="auto"/>
            </w:pPr>
            <w:r>
              <w:rPr>
                <w:sz w:val="16"/>
              </w:rPr>
              <w:t>Validator</w:t>
            </w:r>
          </w:p>
        </w:tc>
        <w:tc>
          <w:tcPr>
            <w:tcW w:type="dxa" w:w="3389"/>
            <w:vAlign w:val="top"/>
          </w:tcPr>
          <w:p>
            <w:pPr>
              <w:spacing w:after="0" w:before="0" w:line="240" w:lineRule="auto"/>
            </w:pPr>
            <w:r>
              <w:rPr>
                <w:sz w:val="16"/>
              </w:rPr>
              <w:t>Reject unsupported or inconsistent Kubernetes intent</w:t>
            </w:r>
          </w:p>
        </w:tc>
        <w:tc>
          <w:tcPr>
            <w:tcW w:type="dxa" w:w="3389"/>
            <w:vAlign w:val="top"/>
          </w:tcPr>
          <w:p>
            <w:pPr>
              <w:spacing w:after="0" w:before="0" w:line="240" w:lineRule="auto"/>
            </w:pPr>
            <w:r>
              <w:rPr>
                <w:sz w:val="16"/>
              </w:rPr>
              <w:t>Perform provider writes</w:t>
            </w:r>
          </w:p>
        </w:tc>
      </w:tr>
      <w:tr>
        <w:tc>
          <w:tcPr>
            <w:tcW w:type="dxa" w:w="3389"/>
            <w:vAlign w:val="top"/>
          </w:tcPr>
          <w:p>
            <w:pPr>
              <w:spacing w:after="0" w:before="0" w:line="240" w:lineRule="auto"/>
            </w:pPr>
            <w:r>
              <w:rPr>
                <w:sz w:val="16"/>
              </w:rPr>
              <w:t>Model Builder</w:t>
            </w:r>
          </w:p>
        </w:tc>
        <w:tc>
          <w:tcPr>
            <w:tcW w:type="dxa" w:w="3389"/>
            <w:vAlign w:val="top"/>
          </w:tcPr>
          <w:p>
            <w:pPr>
              <w:spacing w:after="0" w:before="0" w:line="240" w:lineRule="auto"/>
            </w:pPr>
            <w:r>
              <w:rPr>
                <w:sz w:val="16"/>
              </w:rPr>
              <w:t>Create complete deterministic desired-state graph</w:t>
            </w:r>
          </w:p>
        </w:tc>
        <w:tc>
          <w:tcPr>
            <w:tcW w:type="dxa" w:w="3389"/>
            <w:vAlign w:val="top"/>
          </w:tcPr>
          <w:p>
            <w:pPr>
              <w:spacing w:after="0" w:before="0" w:line="240" w:lineRule="auto"/>
            </w:pPr>
            <w:r>
              <w:rPr>
                <w:sz w:val="16"/>
              </w:rPr>
              <w:t>Read or mutate actual CMP state</w:t>
            </w:r>
          </w:p>
        </w:tc>
      </w:tr>
      <w:tr>
        <w:tc>
          <w:tcPr>
            <w:tcW w:type="dxa" w:w="3389"/>
            <w:vAlign w:val="top"/>
          </w:tcPr>
          <w:p>
            <w:pPr>
              <w:spacing w:after="0" w:before="0" w:line="240" w:lineRule="auto"/>
            </w:pPr>
            <w:r>
              <w:rPr>
                <w:sz w:val="16"/>
              </w:rPr>
              <w:t>Backend Resolver</w:t>
            </w:r>
          </w:p>
        </w:tc>
        <w:tc>
          <w:tcPr>
            <w:tcW w:type="dxa" w:w="3389"/>
            <w:vAlign w:val="top"/>
          </w:tcPr>
          <w:p>
            <w:pPr>
              <w:spacing w:after="0" w:before="0" w:line="240" w:lineRule="auto"/>
            </w:pPr>
            <w:r>
              <w:rPr>
                <w:sz w:val="16"/>
              </w:rPr>
              <w:t>Resolve endpoints/nodes to authoritative CMP identities</w:t>
            </w:r>
          </w:p>
        </w:tc>
        <w:tc>
          <w:tcPr>
            <w:tcW w:type="dxa" w:w="3389"/>
            <w:vAlign w:val="top"/>
          </w:tcPr>
          <w:p>
            <w:pPr>
              <w:spacing w:after="0" w:before="0" w:line="240" w:lineRule="auto"/>
            </w:pPr>
            <w:r>
              <w:rPr>
                <w:sz w:val="16"/>
              </w:rPr>
              <w:t>Invent resource IDs or backend_port_id</w:t>
            </w:r>
          </w:p>
        </w:tc>
      </w:tr>
      <w:tr>
        <w:tc>
          <w:tcPr>
            <w:tcW w:type="dxa" w:w="3389"/>
            <w:vAlign w:val="top"/>
          </w:tcPr>
          <w:p>
            <w:pPr>
              <w:spacing w:after="0" w:before="0" w:line="240" w:lineRule="auto"/>
            </w:pPr>
            <w:r>
              <w:rPr>
                <w:sz w:val="16"/>
              </w:rPr>
              <w:t>Stack Deployer</w:t>
            </w:r>
          </w:p>
        </w:tc>
        <w:tc>
          <w:tcPr>
            <w:tcW w:type="dxa" w:w="3389"/>
            <w:vAlign w:val="top"/>
          </w:tcPr>
          <w:p>
            <w:pPr>
              <w:spacing w:after="0" w:before="0" w:line="240" w:lineRule="auto"/>
            </w:pPr>
            <w:r>
              <w:rPr>
                <w:sz w:val="16"/>
              </w:rPr>
              <w:t>Order managers, maintain transaction context, aggregate result</w:t>
            </w:r>
          </w:p>
        </w:tc>
        <w:tc>
          <w:tcPr>
            <w:tcW w:type="dxa" w:w="3389"/>
            <w:vAlign w:val="top"/>
          </w:tcPr>
          <w:p>
            <w:pPr>
              <w:spacing w:after="0" w:before="0" w:line="240" w:lineRule="auto"/>
            </w:pPr>
            <w:r>
              <w:rPr>
                <w:sz w:val="16"/>
              </w:rPr>
              <w:t>Parse annotations</w:t>
            </w:r>
          </w:p>
        </w:tc>
      </w:tr>
      <w:tr>
        <w:tc>
          <w:tcPr>
            <w:tcW w:type="dxa" w:w="3389"/>
            <w:vAlign w:val="top"/>
          </w:tcPr>
          <w:p>
            <w:pPr>
              <w:spacing w:after="0" w:before="0" w:line="240" w:lineRule="auto"/>
            </w:pPr>
            <w:r>
              <w:rPr>
                <w:sz w:val="16"/>
              </w:rPr>
              <w:t>Resource Manager</w:t>
            </w:r>
          </w:p>
        </w:tc>
        <w:tc>
          <w:tcPr>
            <w:tcW w:type="dxa" w:w="3389"/>
            <w:vAlign w:val="top"/>
          </w:tcPr>
          <w:p>
            <w:pPr>
              <w:spacing w:after="0" w:before="0" w:line="240" w:lineRule="auto"/>
            </w:pPr>
            <w:r>
              <w:rPr>
                <w:sz w:val="16"/>
              </w:rPr>
              <w:t>Reconcile one resource type</w:t>
            </w:r>
          </w:p>
        </w:tc>
        <w:tc>
          <w:tcPr>
            <w:tcW w:type="dxa" w:w="3389"/>
            <w:vAlign w:val="top"/>
          </w:tcPr>
          <w:p>
            <w:pPr>
              <w:spacing w:after="0" w:before="0" w:line="240" w:lineRule="auto"/>
            </w:pPr>
            <w:r>
              <w:rPr>
                <w:sz w:val="16"/>
              </w:rPr>
              <w:t>Control unrelated resource types</w:t>
            </w:r>
          </w:p>
        </w:tc>
      </w:tr>
      <w:tr>
        <w:tc>
          <w:tcPr>
            <w:tcW w:type="dxa" w:w="3389"/>
            <w:vAlign w:val="top"/>
          </w:tcPr>
          <w:p>
            <w:pPr>
              <w:spacing w:after="0" w:before="0" w:line="240" w:lineRule="auto"/>
            </w:pPr>
            <w:r>
              <w:rPr>
                <w:sz w:val="16"/>
              </w:rPr>
              <w:t>Typed CMP Client</w:t>
            </w:r>
          </w:p>
        </w:tc>
        <w:tc>
          <w:tcPr>
            <w:tcW w:type="dxa" w:w="3389"/>
            <w:vAlign w:val="top"/>
          </w:tcPr>
          <w:p>
            <w:pPr>
              <w:spacing w:after="0" w:before="0" w:line="240" w:lineRule="auto"/>
            </w:pPr>
            <w:r>
              <w:rPr>
                <w:sz w:val="16"/>
              </w:rPr>
              <w:t>API paths, auth, encoding, decoding, errors, timeouts</w:t>
            </w:r>
          </w:p>
        </w:tc>
        <w:tc>
          <w:tcPr>
            <w:tcW w:type="dxa" w:w="3389"/>
            <w:vAlign w:val="top"/>
          </w:tcPr>
          <w:p>
            <w:pPr>
              <w:spacing w:after="0" w:before="0" w:line="240" w:lineRule="auto"/>
            </w:pPr>
            <w:r>
              <w:rPr>
                <w:sz w:val="16"/>
              </w:rPr>
              <w:t>Kubernetes reconciliation policy</w:t>
            </w:r>
          </w:p>
        </w:tc>
      </w:tr>
      <w:tr>
        <w:tc>
          <w:tcPr>
            <w:tcW w:type="dxa" w:w="3389"/>
            <w:vAlign w:val="top"/>
          </w:tcPr>
          <w:p>
            <w:pPr>
              <w:spacing w:after="0" w:before="0" w:line="240" w:lineRule="auto"/>
            </w:pPr>
            <w:r>
              <w:rPr>
                <w:sz w:val="16"/>
              </w:rPr>
              <w:t>Ownership Provider</w:t>
            </w:r>
          </w:p>
        </w:tc>
        <w:tc>
          <w:tcPr>
            <w:tcW w:type="dxa" w:w="3389"/>
            <w:vAlign w:val="top"/>
          </w:tcPr>
          <w:p>
            <w:pPr>
              <w:spacing w:after="0" w:before="0" w:line="240" w:lineRule="auto"/>
            </w:pPr>
            <w:r>
              <w:rPr>
                <w:sz w:val="16"/>
              </w:rPr>
              <w:t>Generate and verify ownership envelope</w:t>
            </w:r>
          </w:p>
        </w:tc>
        <w:tc>
          <w:tcPr>
            <w:tcW w:type="dxa" w:w="3389"/>
            <w:vAlign w:val="top"/>
          </w:tcPr>
          <w:p>
            <w:pPr>
              <w:spacing w:after="0" w:before="0" w:line="240" w:lineRule="auto"/>
            </w:pPr>
            <w:r>
              <w:rPr>
                <w:sz w:val="16"/>
              </w:rPr>
              <w:t>Infer ownership from name alone</w:t>
            </w:r>
          </w:p>
        </w:tc>
      </w:tr>
      <w:tr>
        <w:tc>
          <w:tcPr>
            <w:tcW w:type="dxa" w:w="3389"/>
            <w:vAlign w:val="top"/>
          </w:tcPr>
          <w:p>
            <w:pPr>
              <w:spacing w:after="0" w:before="0" w:line="240" w:lineRule="auto"/>
            </w:pPr>
            <w:r>
              <w:rPr>
                <w:sz w:val="16"/>
              </w:rPr>
              <w:t>Status Writer</w:t>
            </w:r>
          </w:p>
        </w:tc>
        <w:tc>
          <w:tcPr>
            <w:tcW w:type="dxa" w:w="3389"/>
            <w:vAlign w:val="top"/>
          </w:tcPr>
          <w:p>
            <w:pPr>
              <w:spacing w:after="0" w:before="0" w:line="240" w:lineRule="auto"/>
            </w:pPr>
            <w:r>
              <w:rPr>
                <w:sz w:val="16"/>
              </w:rPr>
              <w:t>Patch Service/Ingress status and expose stable observations</w:t>
            </w:r>
          </w:p>
        </w:tc>
        <w:tc>
          <w:tcPr>
            <w:tcW w:type="dxa" w:w="3389"/>
            <w:vAlign w:val="top"/>
          </w:tcPr>
          <w:p>
            <w:pPr>
              <w:spacing w:after="0" w:before="0" w:line="240" w:lineRule="auto"/>
            </w:pPr>
            <w:r>
              <w:rPr>
                <w:sz w:val="16"/>
              </w:rPr>
              <w:t>Provision provider resources</w:t>
            </w:r>
          </w:p>
        </w:tc>
      </w:tr>
    </w:tbl>
    <w:p>
      <w:r>
        <w:br w:type="page"/>
      </w:r>
    </w:p>
    <w:p>
      <w:pPr>
        <w:pStyle w:val="Heading1"/>
      </w:pPr>
      <w:r>
        <w:t>4. Controller Boundaries and Watch Graph</w:t>
      </w:r>
    </w:p>
    <w:p>
      <w:pPr>
        <w:jc w:val="center"/>
      </w:pPr>
      <w:r>
        <w:drawing>
          <wp:inline xmlns:a="http://schemas.openxmlformats.org/drawingml/2006/main" xmlns:pic="http://schemas.openxmlformats.org/drawingml/2006/picture">
            <wp:extent cx="6309360" cy="3532727"/>
            <wp:docPr id="3" name="Picture 3"/>
            <wp:cNvGraphicFramePr>
              <a:graphicFrameLocks noChangeAspect="1"/>
            </wp:cNvGraphicFramePr>
            <a:graphic>
              <a:graphicData uri="http://schemas.openxmlformats.org/drawingml/2006/picture">
                <pic:pic>
                  <pic:nvPicPr>
                    <pic:cNvPr id="0" name="controller_boundaries.png"/>
                    <pic:cNvPicPr/>
                  </pic:nvPicPr>
                  <pic:blipFill>
                    <a:blip r:embed="rId10"/>
                    <a:stretch>
                      <a:fillRect/>
                    </a:stretch>
                  </pic:blipFill>
                  <pic:spPr>
                    <a:xfrm>
                      <a:off x="0" y="0"/>
                      <a:ext cx="6309360" cy="3532727"/>
                    </a:xfrm>
                    <a:prstGeom prst="rect"/>
                  </pic:spPr>
                </pic:pic>
              </a:graphicData>
            </a:graphic>
          </wp:inline>
        </w:drawing>
      </w:r>
    </w:p>
    <w:p>
      <w:pPr>
        <w:jc w:val="center"/>
      </w:pPr>
      <w:r>
        <w:rPr>
          <w:i/>
          <w:sz w:val="16"/>
        </w:rPr>
        <w:t>Figure 2-3. Controller boundaries and shared application services</w:t>
      </w:r>
    </w:p>
    <w:p>
      <w:pPr>
        <w:pStyle w:val="Heading2"/>
      </w:pPr>
      <w:r>
        <w:t>4.1 Service controller contract</w:t>
      </w:r>
    </w:p>
    <w:p>
      <w:pPr>
        <w:pStyle w:val="ListBullet"/>
        <w:spacing w:after="40"/>
      </w:pPr>
      <w:r>
        <w:t>Owns Service resources selected by loadBalancerClass and/or the supported compatibility claim rule.</w:t>
      </w:r>
    </w:p>
    <w:p>
      <w:pPr>
        <w:pStyle w:val="ListBullet"/>
        <w:spacing w:after="40"/>
      </w:pPr>
      <w:r>
        <w:t>Watches Service directly and maps EndpointSlice and Node changes back to affected Services.</w:t>
      </w:r>
    </w:p>
    <w:p>
      <w:pPr>
        <w:pStyle w:val="ListBullet"/>
        <w:spacing w:after="40"/>
      </w:pPr>
      <w:r>
        <w:t>Adds the Service finalizer before creating external resources.</w:t>
      </w:r>
    </w:p>
    <w:p>
      <w:pPr>
        <w:pStyle w:val="ListBullet"/>
        <w:spacing w:after="40"/>
      </w:pPr>
      <w:r>
        <w:t>Builds exactly one logical stack per Service unless an explicit shared-frontend feature is enabled.</w:t>
      </w:r>
    </w:p>
    <w:p>
      <w:pPr>
        <w:pStyle w:val="ListBullet"/>
        <w:spacing w:after="40"/>
      </w:pPr>
      <w:r>
        <w:t>Publishes Service.status.loadBalancer only after the selected readiness gate passes.</w:t>
      </w:r>
    </w:p>
    <w:p>
      <w:pPr>
        <w:pStyle w:val="Heading2"/>
      </w:pPr>
      <w:r>
        <w:t>4.2 Ingress controller contract</w:t>
      </w:r>
    </w:p>
    <w:p>
      <w:pPr>
        <w:pStyle w:val="ListBullet"/>
        <w:spacing w:after="40"/>
      </w:pPr>
      <w:r>
        <w:t>Owns Ingress resources selected through the F5 IngressClass.</w:t>
      </w:r>
    </w:p>
    <w:p>
      <w:pPr>
        <w:pStyle w:val="ListBullet"/>
        <w:spacing w:after="40"/>
      </w:pPr>
      <w:r>
        <w:t>Reconciles an Ingress group rather than an isolated Ingress when grouping is enabled.</w:t>
      </w:r>
    </w:p>
    <w:p>
      <w:pPr>
        <w:pStyle w:val="ListBullet"/>
        <w:spacing w:after="40"/>
      </w:pPr>
      <w:r>
        <w:t>Watches Ingress, IngressClass, IngressClassParameters if introduced, referenced Services, Secrets, EndpointSlices and Nodes.</w:t>
      </w:r>
    </w:p>
    <w:p>
      <w:pPr>
        <w:pStyle w:val="ListBullet"/>
        <w:spacing w:after="40"/>
      </w:pPr>
      <w:r>
        <w:t>Builds one stack for the active group and treats inactive members as cleanup inputs.</w:t>
      </w:r>
    </w:p>
    <w:p>
      <w:pPr>
        <w:pStyle w:val="ListBullet"/>
        <w:spacing w:after="40"/>
      </w:pPr>
      <w:r>
        <w:t>Uses group-aware finalizer management so a shared frontend is not deleted while active members remain.</w:t>
      </w:r>
    </w:p>
    <w:p>
      <w:pPr>
        <w:pStyle w:val="Heading2"/>
      </w:pPr>
      <w:r>
        <w:t>4.3 Event-to-owner indexing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Event source</w:t>
            </w:r>
          </w:p>
        </w:tc>
        <w:tc>
          <w:tcPr>
            <w:tcW w:type="dxa" w:w="3389"/>
            <w:shd w:fill="D9EAF7"/>
            <w:vAlign w:val="center"/>
          </w:tcPr>
          <w:p>
            <w:pPr>
              <w:spacing w:after="0" w:before="0" w:line="240" w:lineRule="auto"/>
            </w:pPr>
            <w:r>
              <w:rPr>
                <w:sz w:val="16"/>
              </w:rPr>
              <w:t>Service enqueue rule</w:t>
            </w:r>
          </w:p>
        </w:tc>
        <w:tc>
          <w:tcPr>
            <w:tcW w:type="dxa" w:w="3389"/>
            <w:shd w:fill="D9EAF7"/>
            <w:vAlign w:val="center"/>
          </w:tcPr>
          <w:p>
            <w:pPr>
              <w:spacing w:after="0" w:before="0" w:line="240" w:lineRule="auto"/>
            </w:pPr>
            <w:r>
              <w:rPr>
                <w:sz w:val="16"/>
              </w:rPr>
              <w:t>Ingress enqueue rule</w:t>
            </w:r>
          </w:p>
        </w:tc>
      </w:tr>
      <w:tr>
        <w:tc>
          <w:tcPr>
            <w:tcW w:type="dxa" w:w="3389"/>
            <w:vAlign w:val="top"/>
          </w:tcPr>
          <w:p>
            <w:pPr>
              <w:spacing w:after="0" w:before="0" w:line="240" w:lineRule="auto"/>
            </w:pPr>
            <w:r>
              <w:rPr>
                <w:sz w:val="16"/>
              </w:rPr>
              <w:t>Service</w:t>
            </w:r>
          </w:p>
        </w:tc>
        <w:tc>
          <w:tcPr>
            <w:tcW w:type="dxa" w:w="3389"/>
            <w:vAlign w:val="top"/>
          </w:tcPr>
          <w:p>
            <w:pPr>
              <w:spacing w:after="0" w:before="0" w:line="240" w:lineRule="auto"/>
            </w:pPr>
            <w:r>
              <w:rPr>
                <w:sz w:val="16"/>
              </w:rPr>
              <w:t>self</w:t>
            </w:r>
          </w:p>
        </w:tc>
        <w:tc>
          <w:tcPr>
            <w:tcW w:type="dxa" w:w="3389"/>
            <w:vAlign w:val="top"/>
          </w:tcPr>
          <w:p>
            <w:pPr>
              <w:spacing w:after="0" w:before="0" w:line="240" w:lineRule="auto"/>
            </w:pPr>
            <w:r>
              <w:rPr>
                <w:sz w:val="16"/>
              </w:rPr>
              <w:t>Ingresses referencing Service</w:t>
            </w:r>
          </w:p>
        </w:tc>
      </w:tr>
      <w:tr>
        <w:tc>
          <w:tcPr>
            <w:tcW w:type="dxa" w:w="3389"/>
            <w:vAlign w:val="top"/>
          </w:tcPr>
          <w:p>
            <w:pPr>
              <w:spacing w:after="0" w:before="0" w:line="240" w:lineRule="auto"/>
            </w:pPr>
            <w:r>
              <w:rPr>
                <w:sz w:val="16"/>
              </w:rPr>
              <w:t>EndpointSlice</w:t>
            </w:r>
          </w:p>
        </w:tc>
        <w:tc>
          <w:tcPr>
            <w:tcW w:type="dxa" w:w="3389"/>
            <w:vAlign w:val="top"/>
          </w:tcPr>
          <w:p>
            <w:pPr>
              <w:spacing w:after="0" w:before="0" w:line="240" w:lineRule="auto"/>
            </w:pPr>
            <w:r>
              <w:rPr>
                <w:sz w:val="16"/>
              </w:rPr>
              <w:t>Service label kubernetes.io/service-name</w:t>
            </w:r>
          </w:p>
        </w:tc>
        <w:tc>
          <w:tcPr>
            <w:tcW w:type="dxa" w:w="3389"/>
            <w:vAlign w:val="top"/>
          </w:tcPr>
          <w:p>
            <w:pPr>
              <w:spacing w:after="0" w:before="0" w:line="240" w:lineRule="auto"/>
            </w:pPr>
            <w:r>
              <w:rPr>
                <w:sz w:val="16"/>
              </w:rPr>
              <w:t>Ingresses referencing owning Service</w:t>
            </w:r>
          </w:p>
        </w:tc>
      </w:tr>
      <w:tr>
        <w:tc>
          <w:tcPr>
            <w:tcW w:type="dxa" w:w="3389"/>
            <w:vAlign w:val="top"/>
          </w:tcPr>
          <w:p>
            <w:pPr>
              <w:spacing w:after="0" w:before="0" w:line="240" w:lineRule="auto"/>
            </w:pPr>
            <w:r>
              <w:rPr>
                <w:sz w:val="16"/>
              </w:rPr>
              <w:t>Node</w:t>
            </w:r>
          </w:p>
        </w:tc>
        <w:tc>
          <w:tcPr>
            <w:tcW w:type="dxa" w:w="3389"/>
            <w:vAlign w:val="top"/>
          </w:tcPr>
          <w:p>
            <w:pPr>
              <w:spacing w:after="0" w:before="0" w:line="240" w:lineRule="auto"/>
            </w:pPr>
            <w:r>
              <w:rPr>
                <w:sz w:val="16"/>
              </w:rPr>
              <w:t>all managed node-target Services, with debouncing/index optimization</w:t>
            </w:r>
          </w:p>
        </w:tc>
        <w:tc>
          <w:tcPr>
            <w:tcW w:type="dxa" w:w="3389"/>
            <w:vAlign w:val="top"/>
          </w:tcPr>
          <w:p>
            <w:pPr>
              <w:spacing w:after="0" w:before="0" w:line="240" w:lineRule="auto"/>
            </w:pPr>
            <w:r>
              <w:rPr>
                <w:sz w:val="16"/>
              </w:rPr>
              <w:t>all groups whose backends use node target mode</w:t>
            </w:r>
          </w:p>
        </w:tc>
      </w:tr>
      <w:tr>
        <w:tc>
          <w:tcPr>
            <w:tcW w:type="dxa" w:w="3389"/>
            <w:vAlign w:val="top"/>
          </w:tcPr>
          <w:p>
            <w:pPr>
              <w:spacing w:after="0" w:before="0" w:line="240" w:lineRule="auto"/>
            </w:pPr>
            <w:r>
              <w:rPr>
                <w:sz w:val="16"/>
              </w:rPr>
              <w:t>Ingress</w:t>
            </w:r>
          </w:p>
        </w:tc>
        <w:tc>
          <w:tcPr>
            <w:tcW w:type="dxa" w:w="3389"/>
            <w:vAlign w:val="top"/>
          </w:tcPr>
          <w:p>
            <w:pPr>
              <w:spacing w:after="0" w:before="0" w:line="240" w:lineRule="auto"/>
            </w:pPr>
            <w:r>
              <w:rPr>
                <w:sz w:val="16"/>
              </w:rPr>
              <w:t>none</w:t>
            </w:r>
          </w:p>
        </w:tc>
        <w:tc>
          <w:tcPr>
            <w:tcW w:type="dxa" w:w="3389"/>
            <w:vAlign w:val="top"/>
          </w:tcPr>
          <w:p>
            <w:pPr>
              <w:spacing w:after="0" w:before="0" w:line="240" w:lineRule="auto"/>
            </w:pPr>
            <w:r>
              <w:rPr>
                <w:sz w:val="16"/>
              </w:rPr>
              <w:t>group ID of Ingress</w:t>
            </w:r>
          </w:p>
        </w:tc>
      </w:tr>
      <w:tr>
        <w:tc>
          <w:tcPr>
            <w:tcW w:type="dxa" w:w="3389"/>
            <w:vAlign w:val="top"/>
          </w:tcPr>
          <w:p>
            <w:pPr>
              <w:spacing w:after="0" w:before="0" w:line="240" w:lineRule="auto"/>
            </w:pPr>
            <w:r>
              <w:rPr>
                <w:sz w:val="16"/>
              </w:rPr>
              <w:t>Secret</w:t>
            </w:r>
          </w:p>
        </w:tc>
        <w:tc>
          <w:tcPr>
            <w:tcW w:type="dxa" w:w="3389"/>
            <w:vAlign w:val="top"/>
          </w:tcPr>
          <w:p>
            <w:pPr>
              <w:spacing w:after="0" w:before="0" w:line="240" w:lineRule="auto"/>
            </w:pPr>
            <w:r>
              <w:rPr>
                <w:sz w:val="16"/>
              </w:rPr>
              <w:t>none</w:t>
            </w:r>
          </w:p>
        </w:tc>
        <w:tc>
          <w:tcPr>
            <w:tcW w:type="dxa" w:w="3389"/>
            <w:vAlign w:val="top"/>
          </w:tcPr>
          <w:p>
            <w:pPr>
              <w:spacing w:after="0" w:before="0" w:line="240" w:lineRule="auto"/>
            </w:pPr>
            <w:r>
              <w:rPr>
                <w:sz w:val="16"/>
              </w:rPr>
              <w:t>groups referencing TLS Secret</w:t>
            </w:r>
          </w:p>
        </w:tc>
      </w:tr>
      <w:tr>
        <w:tc>
          <w:tcPr>
            <w:tcW w:type="dxa" w:w="3389"/>
            <w:vAlign w:val="top"/>
          </w:tcPr>
          <w:p>
            <w:pPr>
              <w:spacing w:after="0" w:before="0" w:line="240" w:lineRule="auto"/>
            </w:pPr>
            <w:r>
              <w:rPr>
                <w:sz w:val="16"/>
              </w:rPr>
              <w:t>IngressClass</w:t>
            </w:r>
          </w:p>
        </w:tc>
        <w:tc>
          <w:tcPr>
            <w:tcW w:type="dxa" w:w="3389"/>
            <w:vAlign w:val="top"/>
          </w:tcPr>
          <w:p>
            <w:pPr>
              <w:spacing w:after="0" w:before="0" w:line="240" w:lineRule="auto"/>
            </w:pPr>
            <w:r>
              <w:rPr>
                <w:sz w:val="16"/>
              </w:rPr>
              <w:t>none</w:t>
            </w:r>
          </w:p>
        </w:tc>
        <w:tc>
          <w:tcPr>
            <w:tcW w:type="dxa" w:w="3389"/>
            <w:vAlign w:val="top"/>
          </w:tcPr>
          <w:p>
            <w:pPr>
              <w:spacing w:after="0" w:before="0" w:line="240" w:lineRule="auto"/>
            </w:pPr>
            <w:r>
              <w:rPr>
                <w:sz w:val="16"/>
              </w:rPr>
              <w:t>Ingresses using class</w:t>
            </w:r>
          </w:p>
        </w:tc>
      </w:tr>
    </w:tbl>
    <w:p>
      <w:r>
        <w:br w:type="page"/>
      </w:r>
    </w:p>
    <w:p>
      <w:pPr>
        <w:pStyle w:val="Heading1"/>
      </w:pPr>
      <w:r>
        <w:t>5. Reconciliation Pipeline</w:t>
      </w:r>
    </w:p>
    <w:p>
      <w:pPr>
        <w:jc w:val="center"/>
      </w:pPr>
      <w:r>
        <w:drawing>
          <wp:inline xmlns:a="http://schemas.openxmlformats.org/drawingml/2006/main" xmlns:pic="http://schemas.openxmlformats.org/drawingml/2006/picture">
            <wp:extent cx="6309360" cy="3532727"/>
            <wp:docPr id="4" name="Picture 4"/>
            <wp:cNvGraphicFramePr>
              <a:graphicFrameLocks noChangeAspect="1"/>
            </wp:cNvGraphicFramePr>
            <a:graphic>
              <a:graphicData uri="http://schemas.openxmlformats.org/drawingml/2006/picture">
                <pic:pic>
                  <pic:nvPicPr>
                    <pic:cNvPr id="0" name="reconcile_sequence.png"/>
                    <pic:cNvPicPr/>
                  </pic:nvPicPr>
                  <pic:blipFill>
                    <a:blip r:embed="rId11"/>
                    <a:stretch>
                      <a:fillRect/>
                    </a:stretch>
                  </pic:blipFill>
                  <pic:spPr>
                    <a:xfrm>
                      <a:off x="0" y="0"/>
                      <a:ext cx="6309360" cy="3532727"/>
                    </a:xfrm>
                    <a:prstGeom prst="rect"/>
                  </pic:spPr>
                </pic:pic>
              </a:graphicData>
            </a:graphic>
          </wp:inline>
        </w:drawing>
      </w:r>
    </w:p>
    <w:p>
      <w:pPr>
        <w:jc w:val="center"/>
      </w:pPr>
      <w:r>
        <w:rPr>
          <w:i/>
          <w:sz w:val="16"/>
        </w:rPr>
        <w:t>Figure 2-4. Representative reconciliation sequence</w:t>
      </w:r>
    </w:p>
    <w:p>
      <w:pPr>
        <w:pStyle w:val="Heading2"/>
      </w:pPr>
      <w:r>
        <w:t>5.1 Common orchestration algorithm</w:t>
      </w:r>
    </w:p>
    <w:p>
      <w:pPr>
        <w:pStyle w:val="CodeBlock"/>
      </w:pPr>
      <w:r>
        <w:t>1. Fetch the latest Kubernetes owner or group.</w:t>
        <w:br/>
        <w:t>2. Evaluate claim/ownership.</w:t>
        <w:br/>
        <w:t>3. If deleting or no longer claimed, build an empty desired stack and clean up owned CMP resources.</w:t>
        <w:br/>
        <w:t>4. Validate configuration and provider capability constraints.</w:t>
        <w:br/>
        <w:t>5. Add finalizer before first external create.</w:t>
        <w:br/>
        <w:t>6. Resolve backends and supporting identities.</w:t>
        <w:br/>
        <w:t>7. Build a complete deterministic desired stack.</w:t>
        <w:br/>
        <w:t>8. Discover observed CMP inventory using ownership and stored IDs.</w:t>
        <w:br/>
        <w:t>9. Produce and execute a dependency-ordered reconciliation plan.</w:t>
        <w:br/>
        <w:t>10. Poll only resources whose API is asynchronous and whose readiness is required.</w:t>
        <w:br/>
        <w:t>11. Patch Kubernetes status and emit events/metrics.</w:t>
        <w:br/>
        <w:t>12. Remove finalizer only after required owned resources are absent.</w:t>
      </w:r>
    </w:p>
    <w:p>
      <w:pPr>
        <w:pStyle w:val="Heading2"/>
      </w:pPr>
      <w:r>
        <w:t>5.2 Error ownership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Error source</w:t>
            </w:r>
          </w:p>
        </w:tc>
        <w:tc>
          <w:tcPr>
            <w:tcW w:type="dxa" w:w="3389"/>
            <w:shd w:fill="D9EAF7"/>
            <w:vAlign w:val="center"/>
          </w:tcPr>
          <w:p>
            <w:pPr>
              <w:spacing w:after="0" w:before="0" w:line="240" w:lineRule="auto"/>
            </w:pPr>
            <w:r>
              <w:rPr>
                <w:sz w:val="16"/>
              </w:rPr>
              <w:t>Classification owner</w:t>
            </w:r>
          </w:p>
        </w:tc>
        <w:tc>
          <w:tcPr>
            <w:tcW w:type="dxa" w:w="3389"/>
            <w:shd w:fill="D9EAF7"/>
            <w:vAlign w:val="center"/>
          </w:tcPr>
          <w:p>
            <w:pPr>
              <w:spacing w:after="0" w:before="0" w:line="240" w:lineRule="auto"/>
            </w:pPr>
            <w:r>
              <w:rPr>
                <w:sz w:val="16"/>
              </w:rPr>
              <w:t>Controller behavior</w:t>
            </w:r>
          </w:p>
        </w:tc>
      </w:tr>
      <w:tr>
        <w:tc>
          <w:tcPr>
            <w:tcW w:type="dxa" w:w="3389"/>
            <w:vAlign w:val="top"/>
          </w:tcPr>
          <w:p>
            <w:pPr>
              <w:spacing w:after="0" w:before="0" w:line="240" w:lineRule="auto"/>
            </w:pPr>
            <w:r>
              <w:rPr>
                <w:sz w:val="16"/>
              </w:rPr>
              <w:t>Unsupported Service/Ingress field combination</w:t>
            </w:r>
          </w:p>
        </w:tc>
        <w:tc>
          <w:tcPr>
            <w:tcW w:type="dxa" w:w="3389"/>
            <w:vAlign w:val="top"/>
          </w:tcPr>
          <w:p>
            <w:pPr>
              <w:spacing w:after="0" w:before="0" w:line="240" w:lineRule="auto"/>
            </w:pPr>
            <w:r>
              <w:rPr>
                <w:sz w:val="16"/>
              </w:rPr>
              <w:t>Validator</w:t>
            </w:r>
          </w:p>
        </w:tc>
        <w:tc>
          <w:tcPr>
            <w:tcW w:type="dxa" w:w="3389"/>
            <w:vAlign w:val="top"/>
          </w:tcPr>
          <w:p>
            <w:pPr>
              <w:spacing w:after="0" w:before="0" w:line="240" w:lineRule="auto"/>
            </w:pPr>
            <w:r>
              <w:rPr>
                <w:sz w:val="16"/>
              </w:rPr>
              <w:t>Permanent until object changes; Event; no fast retry</w:t>
            </w:r>
          </w:p>
        </w:tc>
      </w:tr>
      <w:tr>
        <w:tc>
          <w:tcPr>
            <w:tcW w:type="dxa" w:w="3389"/>
            <w:vAlign w:val="top"/>
          </w:tcPr>
          <w:p>
            <w:pPr>
              <w:spacing w:after="0" w:before="0" w:line="240" w:lineRule="auto"/>
            </w:pPr>
            <w:r>
              <w:rPr>
                <w:sz w:val="16"/>
              </w:rPr>
              <w:t>Node has no InternalIP</w:t>
            </w:r>
          </w:p>
        </w:tc>
        <w:tc>
          <w:tcPr>
            <w:tcW w:type="dxa" w:w="3389"/>
            <w:vAlign w:val="top"/>
          </w:tcPr>
          <w:p>
            <w:pPr>
              <w:spacing w:after="0" w:before="0" w:line="240" w:lineRule="auto"/>
            </w:pPr>
            <w:r>
              <w:rPr>
                <w:sz w:val="16"/>
              </w:rPr>
              <w:t>Backend Resolver</w:t>
            </w:r>
          </w:p>
        </w:tc>
        <w:tc>
          <w:tcPr>
            <w:tcW w:type="dxa" w:w="3389"/>
            <w:vAlign w:val="top"/>
          </w:tcPr>
          <w:p>
            <w:pPr>
              <w:spacing w:after="0" w:before="0" w:line="240" w:lineRule="auto"/>
            </w:pPr>
            <w:r>
              <w:rPr>
                <w:sz w:val="16"/>
              </w:rPr>
              <w:t>Dependency not ready; bounded requeue</w:t>
            </w:r>
          </w:p>
        </w:tc>
      </w:tr>
      <w:tr>
        <w:tc>
          <w:tcPr>
            <w:tcW w:type="dxa" w:w="3389"/>
            <w:vAlign w:val="top"/>
          </w:tcPr>
          <w:p>
            <w:pPr>
              <w:spacing w:after="0" w:before="0" w:line="240" w:lineRule="auto"/>
            </w:pPr>
            <w:r>
              <w:rPr>
                <w:sz w:val="16"/>
              </w:rPr>
              <w:t>CMP compute/network lookup timeout</w:t>
            </w:r>
          </w:p>
        </w:tc>
        <w:tc>
          <w:tcPr>
            <w:tcW w:type="dxa" w:w="3389"/>
            <w:vAlign w:val="top"/>
          </w:tcPr>
          <w:p>
            <w:pPr>
              <w:spacing w:after="0" w:before="0" w:line="240" w:lineRule="auto"/>
            </w:pPr>
            <w:r>
              <w:rPr>
                <w:sz w:val="16"/>
              </w:rPr>
              <w:t>CMP client + resolver</w:t>
            </w:r>
          </w:p>
        </w:tc>
        <w:tc>
          <w:tcPr>
            <w:tcW w:type="dxa" w:w="3389"/>
            <w:vAlign w:val="top"/>
          </w:tcPr>
          <w:p>
            <w:pPr>
              <w:spacing w:after="0" w:before="0" w:line="240" w:lineRule="auto"/>
            </w:pPr>
            <w:r>
              <w:rPr>
                <w:sz w:val="16"/>
              </w:rPr>
              <w:t>Retryable transport error</w:t>
            </w:r>
          </w:p>
        </w:tc>
      </w:tr>
      <w:tr>
        <w:tc>
          <w:tcPr>
            <w:tcW w:type="dxa" w:w="3389"/>
            <w:vAlign w:val="top"/>
          </w:tcPr>
          <w:p>
            <w:pPr>
              <w:spacing w:after="0" w:before="0" w:line="240" w:lineRule="auto"/>
            </w:pPr>
            <w:r>
              <w:rPr>
                <w:sz w:val="16"/>
              </w:rPr>
              <w:t>CMP 401/403</w:t>
            </w:r>
          </w:p>
        </w:tc>
        <w:tc>
          <w:tcPr>
            <w:tcW w:type="dxa" w:w="3389"/>
            <w:vAlign w:val="top"/>
          </w:tcPr>
          <w:p>
            <w:pPr>
              <w:spacing w:after="0" w:before="0" w:line="240" w:lineRule="auto"/>
            </w:pPr>
            <w:r>
              <w:rPr>
                <w:sz w:val="16"/>
              </w:rPr>
              <w:t>CMP client</w:t>
            </w:r>
          </w:p>
        </w:tc>
        <w:tc>
          <w:tcPr>
            <w:tcW w:type="dxa" w:w="3389"/>
            <w:vAlign w:val="top"/>
          </w:tcPr>
          <w:p>
            <w:pPr>
              <w:spacing w:after="0" w:before="0" w:line="240" w:lineRule="auto"/>
            </w:pPr>
            <w:r>
              <w:rPr>
                <w:sz w:val="16"/>
              </w:rPr>
              <w:t>Authentication/authorization; slow retry and alert</w:t>
            </w:r>
          </w:p>
        </w:tc>
      </w:tr>
      <w:tr>
        <w:tc>
          <w:tcPr>
            <w:tcW w:type="dxa" w:w="3389"/>
            <w:vAlign w:val="top"/>
          </w:tcPr>
          <w:p>
            <w:pPr>
              <w:spacing w:after="0" w:before="0" w:line="240" w:lineRule="auto"/>
            </w:pPr>
            <w:r>
              <w:rPr>
                <w:sz w:val="16"/>
              </w:rPr>
              <w:t>CMP 409 during create</w:t>
            </w:r>
          </w:p>
        </w:tc>
        <w:tc>
          <w:tcPr>
            <w:tcW w:type="dxa" w:w="3389"/>
            <w:vAlign w:val="top"/>
          </w:tcPr>
          <w:p>
            <w:pPr>
              <w:spacing w:after="0" w:before="0" w:line="240" w:lineRule="auto"/>
            </w:pPr>
            <w:r>
              <w:rPr>
                <w:sz w:val="16"/>
              </w:rPr>
              <w:t>Resource manager</w:t>
            </w:r>
          </w:p>
        </w:tc>
        <w:tc>
          <w:tcPr>
            <w:tcW w:type="dxa" w:w="3389"/>
            <w:vAlign w:val="top"/>
          </w:tcPr>
          <w:p>
            <w:pPr>
              <w:spacing w:after="0" w:before="0" w:line="240" w:lineRule="auto"/>
            </w:pPr>
            <w:r>
              <w:rPr>
                <w:sz w:val="16"/>
              </w:rPr>
              <w:t>Rediscover and verify ownership/idempotency</w:t>
            </w:r>
          </w:p>
        </w:tc>
      </w:tr>
      <w:tr>
        <w:tc>
          <w:tcPr>
            <w:tcW w:type="dxa" w:w="3389"/>
            <w:vAlign w:val="top"/>
          </w:tcPr>
          <w:p>
            <w:pPr>
              <w:spacing w:after="0" w:before="0" w:line="240" w:lineRule="auto"/>
            </w:pPr>
            <w:r>
              <w:rPr>
                <w:sz w:val="16"/>
              </w:rPr>
              <w:t>CMP provisioning still in progress</w:t>
            </w:r>
          </w:p>
        </w:tc>
        <w:tc>
          <w:tcPr>
            <w:tcW w:type="dxa" w:w="3389"/>
            <w:vAlign w:val="top"/>
          </w:tcPr>
          <w:p>
            <w:pPr>
              <w:spacing w:after="0" w:before="0" w:line="240" w:lineRule="auto"/>
            </w:pPr>
            <w:r>
              <w:rPr>
                <w:sz w:val="16"/>
              </w:rPr>
              <w:t>Resource manager/readiness poller</w:t>
            </w:r>
          </w:p>
        </w:tc>
        <w:tc>
          <w:tcPr>
            <w:tcW w:type="dxa" w:w="3389"/>
            <w:vAlign w:val="top"/>
          </w:tcPr>
          <w:p>
            <w:pPr>
              <w:spacing w:after="0" w:before="0" w:line="240" w:lineRule="auto"/>
            </w:pPr>
            <w:r>
              <w:rPr>
                <w:sz w:val="16"/>
              </w:rPr>
              <w:t>RequeueAfter without treating as failure</w:t>
            </w:r>
          </w:p>
        </w:tc>
      </w:tr>
      <w:tr>
        <w:tc>
          <w:tcPr>
            <w:tcW w:type="dxa" w:w="3389"/>
            <w:vAlign w:val="top"/>
          </w:tcPr>
          <w:p>
            <w:pPr>
              <w:spacing w:after="0" w:before="0" w:line="240" w:lineRule="auto"/>
            </w:pPr>
            <w:r>
              <w:rPr>
                <w:sz w:val="16"/>
              </w:rPr>
              <w:t>Status patch conflict</w:t>
            </w:r>
          </w:p>
        </w:tc>
        <w:tc>
          <w:tcPr>
            <w:tcW w:type="dxa" w:w="3389"/>
            <w:vAlign w:val="top"/>
          </w:tcPr>
          <w:p>
            <w:pPr>
              <w:spacing w:after="0" w:before="0" w:line="240" w:lineRule="auto"/>
            </w:pPr>
            <w:r>
              <w:rPr>
                <w:sz w:val="16"/>
              </w:rPr>
              <w:t>Status writer</w:t>
            </w:r>
          </w:p>
        </w:tc>
        <w:tc>
          <w:tcPr>
            <w:tcW w:type="dxa" w:w="3389"/>
            <w:vAlign w:val="top"/>
          </w:tcPr>
          <w:p>
            <w:pPr>
              <w:spacing w:after="0" w:before="0" w:line="240" w:lineRule="auto"/>
            </w:pPr>
            <w:r>
              <w:rPr>
                <w:sz w:val="16"/>
              </w:rPr>
              <w:t>Refetch and retry patch</w:t>
            </w:r>
          </w:p>
        </w:tc>
      </w:tr>
    </w:tbl>
    <w:p>
      <w:r>
        <w:br w:type="page"/>
      </w:r>
    </w:p>
    <w:p>
      <w:pPr>
        <w:pStyle w:val="Heading1"/>
      </w:pPr>
      <w:r>
        <w:t>6. Internal Desired-State Model</w:t>
      </w:r>
    </w:p>
    <w:p>
      <w:pPr>
        <w:jc w:val="center"/>
      </w:pPr>
      <w:r>
        <w:drawing>
          <wp:inline xmlns:a="http://schemas.openxmlformats.org/drawingml/2006/main" xmlns:pic="http://schemas.openxmlformats.org/drawingml/2006/picture">
            <wp:extent cx="6309360" cy="3532727"/>
            <wp:docPr id="5" name="Picture 5"/>
            <wp:cNvGraphicFramePr>
              <a:graphicFrameLocks noChangeAspect="1"/>
            </wp:cNvGraphicFramePr>
            <a:graphic>
              <a:graphicData uri="http://schemas.openxmlformats.org/drawingml/2006/picture">
                <pic:pic>
                  <pic:nvPicPr>
                    <pic:cNvPr id="0" name="internal_model.png"/>
                    <pic:cNvPicPr/>
                  </pic:nvPicPr>
                  <pic:blipFill>
                    <a:blip r:embed="rId12"/>
                    <a:stretch>
                      <a:fillRect/>
                    </a:stretch>
                  </pic:blipFill>
                  <pic:spPr>
                    <a:xfrm>
                      <a:off x="0" y="0"/>
                      <a:ext cx="6309360" cy="3532727"/>
                    </a:xfrm>
                    <a:prstGeom prst="rect"/>
                  </pic:spPr>
                </pic:pic>
              </a:graphicData>
            </a:graphic>
          </wp:inline>
        </w:drawing>
      </w:r>
    </w:p>
    <w:p>
      <w:pPr>
        <w:jc w:val="center"/>
      </w:pPr>
      <w:r>
        <w:rPr>
          <w:i/>
          <w:sz w:val="16"/>
        </w:rPr>
        <w:t>Figure 2-5. Internal desired-state resource graph</w:t>
      </w:r>
    </w:p>
    <w:p>
      <w:pPr>
        <w:spacing w:after="80"/>
      </w:pPr>
      <w:r>
        <w:t>The internal model is an in-memory typed graph. It is not a CRD and is not persisted as a second source of truth. It captures the complete desired provider configuration for one reconciliation key and contains enough metadata for deterministic deployment and cleanup.</w:t>
      </w:r>
    </w:p>
    <w:p>
      <w:pPr>
        <w:pStyle w:val="Heading2"/>
      </w:pPr>
      <w:r>
        <w:t>6.1 Core abstractions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Type</w:t>
            </w:r>
          </w:p>
        </w:tc>
        <w:tc>
          <w:tcPr>
            <w:tcW w:type="dxa" w:w="3389"/>
            <w:shd w:fill="D9EAF7"/>
            <w:vAlign w:val="center"/>
          </w:tcPr>
          <w:p>
            <w:pPr>
              <w:spacing w:after="0" w:before="0" w:line="240" w:lineRule="auto"/>
            </w:pPr>
            <w:r>
              <w:rPr>
                <w:sz w:val="16"/>
              </w:rPr>
              <w:t>Purpose</w:t>
            </w:r>
          </w:p>
        </w:tc>
        <w:tc>
          <w:tcPr>
            <w:tcW w:type="dxa" w:w="3389"/>
            <w:shd w:fill="D9EAF7"/>
            <w:vAlign w:val="center"/>
          </w:tcPr>
          <w:p>
            <w:pPr>
              <w:spacing w:after="0" w:before="0" w:line="240" w:lineRule="auto"/>
            </w:pPr>
            <w:r>
              <w:rPr>
                <w:sz w:val="16"/>
              </w:rPr>
              <w:t>Key invariants</w:t>
            </w:r>
          </w:p>
        </w:tc>
      </w:tr>
      <w:tr>
        <w:tc>
          <w:tcPr>
            <w:tcW w:type="dxa" w:w="3389"/>
            <w:vAlign w:val="top"/>
          </w:tcPr>
          <w:p>
            <w:pPr>
              <w:spacing w:after="0" w:before="0" w:line="240" w:lineRule="auto"/>
            </w:pPr>
            <w:r>
              <w:rPr>
                <w:sz w:val="16"/>
              </w:rPr>
              <w:t>Stack</w:t>
            </w:r>
          </w:p>
        </w:tc>
        <w:tc>
          <w:tcPr>
            <w:tcW w:type="dxa" w:w="3389"/>
            <w:vAlign w:val="top"/>
          </w:tcPr>
          <w:p>
            <w:pPr>
              <w:spacing w:after="0" w:before="0" w:line="240" w:lineRule="auto"/>
            </w:pPr>
            <w:r>
              <w:rPr>
                <w:sz w:val="16"/>
              </w:rPr>
              <w:t>Root graph, stack key, owner, resource registry and dependency edges</w:t>
            </w:r>
          </w:p>
        </w:tc>
        <w:tc>
          <w:tcPr>
            <w:tcW w:type="dxa" w:w="3389"/>
            <w:vAlign w:val="top"/>
          </w:tcPr>
          <w:p>
            <w:pPr>
              <w:spacing w:after="0" w:before="0" w:line="240" w:lineRule="auto"/>
            </w:pPr>
            <w:r>
              <w:rPr>
                <w:sz w:val="16"/>
              </w:rPr>
              <w:t>Stable key; no duplicate logical IDs; acyclic dependencies</w:t>
            </w:r>
          </w:p>
        </w:tc>
      </w:tr>
      <w:tr>
        <w:tc>
          <w:tcPr>
            <w:tcW w:type="dxa" w:w="3389"/>
            <w:vAlign w:val="top"/>
          </w:tcPr>
          <w:p>
            <w:pPr>
              <w:spacing w:after="0" w:before="0" w:line="240" w:lineRule="auto"/>
            </w:pPr>
            <w:r>
              <w:rPr>
                <w:sz w:val="16"/>
              </w:rPr>
              <w:t>ResourceMeta</w:t>
            </w:r>
          </w:p>
        </w:tc>
        <w:tc>
          <w:tcPr>
            <w:tcW w:type="dxa" w:w="3389"/>
            <w:vAlign w:val="top"/>
          </w:tcPr>
          <w:p>
            <w:pPr>
              <w:spacing w:after="0" w:before="0" w:line="240" w:lineRule="auto"/>
            </w:pPr>
            <w:r>
              <w:rPr>
                <w:sz w:val="16"/>
              </w:rPr>
              <w:t>Logical ID, external ID if observed, ownership, dependencies</w:t>
            </w:r>
          </w:p>
        </w:tc>
        <w:tc>
          <w:tcPr>
            <w:tcW w:type="dxa" w:w="3389"/>
            <w:vAlign w:val="top"/>
          </w:tcPr>
          <w:p>
            <w:pPr>
              <w:spacing w:after="0" w:before="0" w:line="240" w:lineRule="auto"/>
            </w:pPr>
            <w:r>
              <w:rPr>
                <w:sz w:val="16"/>
              </w:rPr>
              <w:t>Logical ID deterministic; external ID never fabricated</w:t>
            </w:r>
          </w:p>
        </w:tc>
      </w:tr>
      <w:tr>
        <w:tc>
          <w:tcPr>
            <w:tcW w:type="dxa" w:w="3389"/>
            <w:vAlign w:val="top"/>
          </w:tcPr>
          <w:p>
            <w:pPr>
              <w:spacing w:after="0" w:before="0" w:line="240" w:lineRule="auto"/>
            </w:pPr>
            <w:r>
              <w:rPr>
                <w:sz w:val="16"/>
              </w:rPr>
              <w:t>LBService</w:t>
            </w:r>
          </w:p>
        </w:tc>
        <w:tc>
          <w:tcPr>
            <w:tcW w:type="dxa" w:w="3389"/>
            <w:vAlign w:val="top"/>
          </w:tcPr>
          <w:p>
            <w:pPr>
              <w:spacing w:after="0" w:before="0" w:line="240" w:lineRule="auto"/>
            </w:pPr>
            <w:r>
              <w:rPr>
                <w:sz w:val="16"/>
              </w:rPr>
              <w:t>CMP service container and network/flavor context</w:t>
            </w:r>
          </w:p>
        </w:tc>
        <w:tc>
          <w:tcPr>
            <w:tcW w:type="dxa" w:w="3389"/>
            <w:vAlign w:val="top"/>
          </w:tcPr>
          <w:p>
            <w:pPr>
              <w:spacing w:after="0" w:before="0" w:line="240" w:lineRule="auto"/>
            </w:pPr>
            <w:r>
              <w:rPr>
                <w:sz w:val="16"/>
              </w:rPr>
              <w:t>Exactly one root per non-shared stack</w:t>
            </w:r>
          </w:p>
        </w:tc>
      </w:tr>
      <w:tr>
        <w:tc>
          <w:tcPr>
            <w:tcW w:type="dxa" w:w="3389"/>
            <w:vAlign w:val="top"/>
          </w:tcPr>
          <w:p>
            <w:pPr>
              <w:spacing w:after="0" w:before="0" w:line="240" w:lineRule="auto"/>
            </w:pPr>
            <w:r>
              <w:rPr>
                <w:sz w:val="16"/>
              </w:rPr>
              <w:t>VIP</w:t>
            </w:r>
          </w:p>
        </w:tc>
        <w:tc>
          <w:tcPr>
            <w:tcW w:type="dxa" w:w="3389"/>
            <w:vAlign w:val="top"/>
          </w:tcPr>
          <w:p>
            <w:pPr>
              <w:spacing w:after="0" w:before="0" w:line="240" w:lineRule="auto"/>
            </w:pPr>
            <w:r>
              <w:rPr>
                <w:sz w:val="16"/>
              </w:rPr>
              <w:t>Allocated or requested frontend address</w:t>
            </w:r>
          </w:p>
        </w:tc>
        <w:tc>
          <w:tcPr>
            <w:tcW w:type="dxa" w:w="3389"/>
            <w:vAlign w:val="top"/>
          </w:tcPr>
          <w:p>
            <w:pPr>
              <w:spacing w:after="0" w:before="0" w:line="240" w:lineRule="auto"/>
            </w:pPr>
            <w:r>
              <w:rPr>
                <w:sz w:val="16"/>
              </w:rPr>
              <w:t>References LBService; published only when ready</w:t>
            </w:r>
          </w:p>
        </w:tc>
      </w:tr>
      <w:tr>
        <w:tc>
          <w:tcPr>
            <w:tcW w:type="dxa" w:w="3389"/>
            <w:vAlign w:val="top"/>
          </w:tcPr>
          <w:p>
            <w:pPr>
              <w:spacing w:after="0" w:before="0" w:line="240" w:lineRule="auto"/>
            </w:pPr>
            <w:r>
              <w:rPr>
                <w:sz w:val="16"/>
              </w:rPr>
              <w:t>VirtualServer</w:t>
            </w:r>
          </w:p>
        </w:tc>
        <w:tc>
          <w:tcPr>
            <w:tcW w:type="dxa" w:w="3389"/>
            <w:vAlign w:val="top"/>
          </w:tcPr>
          <w:p>
            <w:pPr>
              <w:spacing w:after="0" w:before="0" w:line="240" w:lineRule="auto"/>
            </w:pPr>
            <w:r>
              <w:rPr>
                <w:sz w:val="16"/>
              </w:rPr>
              <w:t>Protocol/port frontend listener equivalent</w:t>
            </w:r>
          </w:p>
        </w:tc>
        <w:tc>
          <w:tcPr>
            <w:tcW w:type="dxa" w:w="3389"/>
            <w:vAlign w:val="top"/>
          </w:tcPr>
          <w:p>
            <w:pPr>
              <w:spacing w:after="0" w:before="0" w:line="240" w:lineRule="auto"/>
            </w:pPr>
            <w:r>
              <w:rPr>
                <w:sz w:val="16"/>
              </w:rPr>
              <w:t>Unique frontend tuple within stack</w:t>
            </w:r>
          </w:p>
        </w:tc>
      </w:tr>
      <w:tr>
        <w:tc>
          <w:tcPr>
            <w:tcW w:type="dxa" w:w="3389"/>
            <w:vAlign w:val="top"/>
          </w:tcPr>
          <w:p>
            <w:pPr>
              <w:spacing w:after="0" w:before="0" w:line="240" w:lineRule="auto"/>
            </w:pPr>
            <w:r>
              <w:rPr>
                <w:sz w:val="16"/>
              </w:rPr>
              <w:t>RoutingRule</w:t>
            </w:r>
          </w:p>
        </w:tc>
        <w:tc>
          <w:tcPr>
            <w:tcW w:type="dxa" w:w="3389"/>
            <w:vAlign w:val="top"/>
          </w:tcPr>
          <w:p>
            <w:pPr>
              <w:spacing w:after="0" w:before="0" w:line="240" w:lineRule="auto"/>
            </w:pPr>
            <w:r>
              <w:rPr>
                <w:sz w:val="16"/>
              </w:rPr>
              <w:t>Host/path match and pool action</w:t>
            </w:r>
          </w:p>
        </w:tc>
        <w:tc>
          <w:tcPr>
            <w:tcW w:type="dxa" w:w="3389"/>
            <w:vAlign w:val="top"/>
          </w:tcPr>
          <w:p>
            <w:pPr>
              <w:spacing w:after="0" w:before="0" w:line="240" w:lineRule="auto"/>
            </w:pPr>
            <w:r>
              <w:rPr>
                <w:sz w:val="16"/>
              </w:rPr>
              <w:t>Ordered deterministically; references existing pool</w:t>
            </w:r>
          </w:p>
        </w:tc>
      </w:tr>
      <w:tr>
        <w:tc>
          <w:tcPr>
            <w:tcW w:type="dxa" w:w="3389"/>
            <w:vAlign w:val="top"/>
          </w:tcPr>
          <w:p>
            <w:pPr>
              <w:spacing w:after="0" w:before="0" w:line="240" w:lineRule="auto"/>
            </w:pPr>
            <w:r>
              <w:rPr>
                <w:sz w:val="16"/>
              </w:rPr>
              <w:t>BackendPool</w:t>
            </w:r>
          </w:p>
        </w:tc>
        <w:tc>
          <w:tcPr>
            <w:tcW w:type="dxa" w:w="3389"/>
            <w:vAlign w:val="top"/>
          </w:tcPr>
          <w:p>
            <w:pPr>
              <w:spacing w:after="0" w:before="0" w:line="240" w:lineRule="auto"/>
            </w:pPr>
            <w:r>
              <w:rPr>
                <w:sz w:val="16"/>
              </w:rPr>
              <w:t>Backend group, balancing algorithm and default status</w:t>
            </w:r>
          </w:p>
        </w:tc>
        <w:tc>
          <w:tcPr>
            <w:tcW w:type="dxa" w:w="3389"/>
            <w:vAlign w:val="top"/>
          </w:tcPr>
          <w:p>
            <w:pPr>
              <w:spacing w:after="0" w:before="0" w:line="240" w:lineRule="auto"/>
            </w:pPr>
            <w:r>
              <w:rPr>
                <w:sz w:val="16"/>
              </w:rPr>
              <w:t>Unique per backend identity and routing semantics</w:t>
            </w:r>
          </w:p>
        </w:tc>
      </w:tr>
      <w:tr>
        <w:tc>
          <w:tcPr>
            <w:tcW w:type="dxa" w:w="3389"/>
            <w:vAlign w:val="top"/>
          </w:tcPr>
          <w:p>
            <w:pPr>
              <w:spacing w:after="0" w:before="0" w:line="240" w:lineRule="auto"/>
            </w:pPr>
            <w:r>
              <w:rPr>
                <w:sz w:val="16"/>
              </w:rPr>
              <w:t>HealthMonitor</w:t>
            </w:r>
          </w:p>
        </w:tc>
        <w:tc>
          <w:tcPr>
            <w:tcW w:type="dxa" w:w="3389"/>
            <w:vAlign w:val="top"/>
          </w:tcPr>
          <w:p>
            <w:pPr>
              <w:spacing w:after="0" w:before="0" w:line="240" w:lineRule="auto"/>
            </w:pPr>
            <w:r>
              <w:rPr>
                <w:sz w:val="16"/>
              </w:rPr>
              <w:t>Probe definition attached to pool</w:t>
            </w:r>
          </w:p>
        </w:tc>
        <w:tc>
          <w:tcPr>
            <w:tcW w:type="dxa" w:w="3389"/>
            <w:vAlign w:val="top"/>
          </w:tcPr>
          <w:p>
            <w:pPr>
              <w:spacing w:after="0" w:before="0" w:line="240" w:lineRule="auto"/>
            </w:pPr>
            <w:r>
              <w:rPr>
                <w:sz w:val="16"/>
              </w:rPr>
              <w:t>Protocol compatible with pool/backend</w:t>
            </w:r>
          </w:p>
        </w:tc>
      </w:tr>
      <w:tr>
        <w:tc>
          <w:tcPr>
            <w:tcW w:type="dxa" w:w="3389"/>
            <w:vAlign w:val="top"/>
          </w:tcPr>
          <w:p>
            <w:pPr>
              <w:spacing w:after="0" w:before="0" w:line="240" w:lineRule="auto"/>
            </w:pPr>
            <w:r>
              <w:rPr>
                <w:sz w:val="16"/>
              </w:rPr>
              <w:t>BackendMember</w:t>
            </w:r>
          </w:p>
        </w:tc>
        <w:tc>
          <w:tcPr>
            <w:tcW w:type="dxa" w:w="3389"/>
            <w:vAlign w:val="top"/>
          </w:tcPr>
          <w:p>
            <w:pPr>
              <w:spacing w:after="0" w:before="0" w:line="240" w:lineRule="auto"/>
            </w:pPr>
            <w:r>
              <w:rPr>
                <w:sz w:val="16"/>
              </w:rPr>
              <w:t>Authoritative target identity and service port</w:t>
            </w:r>
          </w:p>
        </w:tc>
        <w:tc>
          <w:tcPr>
            <w:tcW w:type="dxa" w:w="3389"/>
            <w:vAlign w:val="top"/>
          </w:tcPr>
          <w:p>
            <w:pPr>
              <w:spacing w:after="0" w:before="0" w:line="240" w:lineRule="auto"/>
            </w:pPr>
            <w:r>
              <w:rPr>
                <w:sz w:val="16"/>
              </w:rPr>
              <w:t>resource_id, resource_ip and backend_port_id resolved from CMP</w:t>
            </w:r>
          </w:p>
        </w:tc>
      </w:tr>
      <w:tr>
        <w:tc>
          <w:tcPr>
            <w:tcW w:type="dxa" w:w="3389"/>
            <w:vAlign w:val="top"/>
          </w:tcPr>
          <w:p>
            <w:pPr>
              <w:spacing w:after="0" w:before="0" w:line="240" w:lineRule="auto"/>
            </w:pPr>
            <w:r>
              <w:rPr>
                <w:sz w:val="16"/>
              </w:rPr>
              <w:t>Certificate</w:t>
            </w:r>
          </w:p>
        </w:tc>
        <w:tc>
          <w:tcPr>
            <w:tcW w:type="dxa" w:w="3389"/>
            <w:vAlign w:val="top"/>
          </w:tcPr>
          <w:p>
            <w:pPr>
              <w:spacing w:after="0" w:before="0" w:line="240" w:lineRule="auto"/>
            </w:pPr>
            <w:r>
              <w:rPr>
                <w:sz w:val="16"/>
              </w:rPr>
              <w:t>Certificate reference/attachment model</w:t>
            </w:r>
          </w:p>
        </w:tc>
        <w:tc>
          <w:tcPr>
            <w:tcW w:type="dxa" w:w="3389"/>
            <w:vAlign w:val="top"/>
          </w:tcPr>
          <w:p>
            <w:pPr>
              <w:spacing w:after="0" w:before="0" w:line="240" w:lineRule="auto"/>
            </w:pPr>
            <w:r>
              <w:rPr>
                <w:sz w:val="16"/>
              </w:rPr>
              <w:t>Secret material not placed in logs or logical IDs</w:t>
            </w:r>
          </w:p>
        </w:tc>
      </w:tr>
    </w:tbl>
    <w:p>
      <w:pPr>
        <w:pStyle w:val="Heading2"/>
      </w:pPr>
      <w:r>
        <w:t>6.2 Proposed Go model</w:t>
      </w:r>
    </w:p>
    <w:p>
      <w:pPr>
        <w:pStyle w:val="CodeBlock"/>
      </w:pPr>
      <w:r>
        <w:t>type Stack struct {</w:t>
        <w:br/>
        <w:t xml:space="preserve">    Key       StackKey</w:t>
        <w:br/>
        <w:t xml:space="preserve">    Owner     Ownership</w:t>
        <w:br/>
        <w:t xml:space="preserve">    Resources ResourceRegistry</w:t>
        <w:br/>
        <w:t xml:space="preserve">    Edges     []Dependency</w:t>
        <w:br/>
        <w:t>}</w:t>
        <w:br/>
        <w:br/>
        <w:t>type ResourceMeta struct {</w:t>
        <w:br/>
        <w:t xml:space="preserve">    LogicalID    string</w:t>
        <w:br/>
        <w:t xml:space="preserve">    ExternalID   string // observed only</w:t>
        <w:br/>
        <w:t xml:space="preserve">    Role         ResourceRole</w:t>
        <w:br/>
        <w:t xml:space="preserve">    Ownership    Ownership</w:t>
        <w:br/>
        <w:t xml:space="preserve">    DependsOn    []string</w:t>
        <w:br/>
        <w:t>}</w:t>
        <w:br/>
        <w:br/>
        <w:t>type LBService struct { Meta ResourceMeta; Spec LBServiceSpec }</w:t>
        <w:br/>
        <w:t>type VIP struct { Meta ResourceMeta; Spec VIPSpec }</w:t>
        <w:br/>
        <w:t>type VirtualServer struct { Meta ResourceMeta; Spec VirtualServerSpec }</w:t>
        <w:br/>
        <w:t>type BackendPool struct { Meta ResourceMeta; Spec BackendPoolSpec }</w:t>
        <w:br/>
        <w:t>type BackendMember struct { Meta ResourceMeta; Spec BackendMemberSpec }</w:t>
      </w:r>
    </w:p>
    <w:p>
      <w:r>
        <w:br w:type="page"/>
      </w:r>
    </w:p>
    <w:p>
      <w:pPr>
        <w:pStyle w:val="Heading1"/>
      </w:pPr>
      <w:r>
        <w:t>7. Resource Specifications and Identity</w:t>
      </w:r>
    </w:p>
    <w:p>
      <w:pPr>
        <w:pStyle w:val="Heading2"/>
      </w:pPr>
      <w:r>
        <w:t>7.1 LBServiceSpec</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Field</w:t>
            </w:r>
          </w:p>
        </w:tc>
        <w:tc>
          <w:tcPr>
            <w:tcW w:type="dxa" w:w="3389"/>
            <w:shd w:fill="D9EAF7"/>
            <w:vAlign w:val="center"/>
          </w:tcPr>
          <w:p>
            <w:pPr>
              <w:spacing w:after="0" w:before="0" w:line="240" w:lineRule="auto"/>
            </w:pPr>
            <w:r>
              <w:rPr>
                <w:sz w:val="16"/>
              </w:rPr>
              <w:t>Source</w:t>
            </w:r>
          </w:p>
        </w:tc>
        <w:tc>
          <w:tcPr>
            <w:tcW w:type="dxa" w:w="3389"/>
            <w:shd w:fill="D9EAF7"/>
            <w:vAlign w:val="center"/>
          </w:tcPr>
          <w:p>
            <w:pPr>
              <w:spacing w:after="0" w:before="0" w:line="240" w:lineRule="auto"/>
            </w:pPr>
            <w:r>
              <w:rPr>
                <w:sz w:val="16"/>
              </w:rPr>
              <w:t>Rule</w:t>
            </w:r>
          </w:p>
        </w:tc>
      </w:tr>
      <w:tr>
        <w:tc>
          <w:tcPr>
            <w:tcW w:type="dxa" w:w="3389"/>
            <w:vAlign w:val="top"/>
          </w:tcPr>
          <w:p>
            <w:pPr>
              <w:spacing w:after="0" w:before="0" w:line="240" w:lineRule="auto"/>
            </w:pPr>
            <w:r>
              <w:rPr>
                <w:sz w:val="16"/>
              </w:rPr>
              <w:t>Name</w:t>
            </w:r>
          </w:p>
        </w:tc>
        <w:tc>
          <w:tcPr>
            <w:tcW w:type="dxa" w:w="3389"/>
            <w:vAlign w:val="top"/>
          </w:tcPr>
          <w:p>
            <w:pPr>
              <w:spacing w:after="0" w:before="0" w:line="240" w:lineRule="auto"/>
            </w:pPr>
            <w:r>
              <w:rPr>
                <w:sz w:val="16"/>
              </w:rPr>
              <w:t>NamingProvider</w:t>
            </w:r>
          </w:p>
        </w:tc>
        <w:tc>
          <w:tcPr>
            <w:tcW w:type="dxa" w:w="3389"/>
            <w:vAlign w:val="top"/>
          </w:tcPr>
          <w:p>
            <w:pPr>
              <w:spacing w:after="0" w:before="0" w:line="240" w:lineRule="auto"/>
            </w:pPr>
            <w:r>
              <w:rPr>
                <w:sz w:val="16"/>
              </w:rPr>
              <w:t>Deterministic and CMP length-safe</w:t>
            </w:r>
          </w:p>
        </w:tc>
      </w:tr>
      <w:tr>
        <w:tc>
          <w:tcPr>
            <w:tcW w:type="dxa" w:w="3389"/>
            <w:vAlign w:val="top"/>
          </w:tcPr>
          <w:p>
            <w:pPr>
              <w:spacing w:after="0" w:before="0" w:line="240" w:lineRule="auto"/>
            </w:pPr>
            <w:r>
              <w:rPr>
                <w:sz w:val="16"/>
              </w:rPr>
              <w:t>Description</w:t>
            </w:r>
          </w:p>
        </w:tc>
        <w:tc>
          <w:tcPr>
            <w:tcW w:type="dxa" w:w="3389"/>
            <w:vAlign w:val="top"/>
          </w:tcPr>
          <w:p>
            <w:pPr>
              <w:spacing w:after="0" w:before="0" w:line="240" w:lineRule="auto"/>
            </w:pPr>
            <w:r>
              <w:rPr>
                <w:sz w:val="16"/>
              </w:rPr>
              <w:t>OwnershipProvider</w:t>
            </w:r>
          </w:p>
        </w:tc>
        <w:tc>
          <w:tcPr>
            <w:tcW w:type="dxa" w:w="3389"/>
            <w:vAlign w:val="top"/>
          </w:tcPr>
          <w:p>
            <w:pPr>
              <w:spacing w:after="0" w:before="0" w:line="240" w:lineRule="auto"/>
            </w:pPr>
            <w:r>
              <w:rPr>
                <w:sz w:val="16"/>
              </w:rPr>
              <w:t>Human-readable ownership envelope</w:t>
            </w:r>
          </w:p>
        </w:tc>
      </w:tr>
      <w:tr>
        <w:tc>
          <w:tcPr>
            <w:tcW w:type="dxa" w:w="3389"/>
            <w:vAlign w:val="top"/>
          </w:tcPr>
          <w:p>
            <w:pPr>
              <w:spacing w:after="0" w:before="0" w:line="240" w:lineRule="auto"/>
            </w:pPr>
            <w:r>
              <w:rPr>
                <w:sz w:val="16"/>
              </w:rPr>
              <w:t>FlavorID</w:t>
            </w:r>
          </w:p>
        </w:tc>
        <w:tc>
          <w:tcPr>
            <w:tcW w:type="dxa" w:w="3389"/>
            <w:vAlign w:val="top"/>
          </w:tcPr>
          <w:p>
            <w:pPr>
              <w:spacing w:after="0" w:before="0" w:line="240" w:lineRule="auto"/>
            </w:pPr>
            <w:r>
              <w:rPr>
                <w:sz w:val="16"/>
              </w:rPr>
              <w:t>Controller config / supported annotation</w:t>
            </w:r>
          </w:p>
        </w:tc>
        <w:tc>
          <w:tcPr>
            <w:tcW w:type="dxa" w:w="3389"/>
            <w:vAlign w:val="top"/>
          </w:tcPr>
          <w:p>
            <w:pPr>
              <w:spacing w:after="0" w:before="0" w:line="240" w:lineRule="auto"/>
            </w:pPr>
            <w:r>
              <w:rPr>
                <w:sz w:val="16"/>
              </w:rPr>
              <w:t>Validated against permitted flavor set</w:t>
            </w:r>
          </w:p>
        </w:tc>
      </w:tr>
      <w:tr>
        <w:tc>
          <w:tcPr>
            <w:tcW w:type="dxa" w:w="3389"/>
            <w:vAlign w:val="top"/>
          </w:tcPr>
          <w:p>
            <w:pPr>
              <w:spacing w:after="0" w:before="0" w:line="240" w:lineRule="auto"/>
            </w:pPr>
            <w:r>
              <w:rPr>
                <w:sz w:val="16"/>
              </w:rPr>
              <w:t>NetworkID</w:t>
            </w:r>
          </w:p>
        </w:tc>
        <w:tc>
          <w:tcPr>
            <w:tcW w:type="dxa" w:w="3389"/>
            <w:vAlign w:val="top"/>
          </w:tcPr>
          <w:p>
            <w:pPr>
              <w:spacing w:after="0" w:before="0" w:line="240" w:lineRule="auto"/>
            </w:pPr>
            <w:r>
              <w:rPr>
                <w:sz w:val="16"/>
              </w:rPr>
              <w:t>Shoot/provider config</w:t>
            </w:r>
          </w:p>
        </w:tc>
        <w:tc>
          <w:tcPr>
            <w:tcW w:type="dxa" w:w="3389"/>
            <w:vAlign w:val="top"/>
          </w:tcPr>
          <w:p>
            <w:pPr>
              <w:spacing w:after="0" w:before="0" w:line="240" w:lineRule="auto"/>
            </w:pPr>
            <w:r>
              <w:rPr>
                <w:sz w:val="16"/>
              </w:rPr>
              <w:t>Required and immutable unless replacement is explicitly supported</w:t>
            </w:r>
          </w:p>
        </w:tc>
      </w:tr>
      <w:tr>
        <w:tc>
          <w:tcPr>
            <w:tcW w:type="dxa" w:w="3389"/>
            <w:vAlign w:val="top"/>
          </w:tcPr>
          <w:p>
            <w:pPr>
              <w:spacing w:after="0" w:before="0" w:line="240" w:lineRule="auto"/>
            </w:pPr>
            <w:r>
              <w:rPr>
                <w:sz w:val="16"/>
              </w:rPr>
              <w:t>VPCID/VPCName</w:t>
            </w:r>
          </w:p>
        </w:tc>
        <w:tc>
          <w:tcPr>
            <w:tcW w:type="dxa" w:w="3389"/>
            <w:vAlign w:val="top"/>
          </w:tcPr>
          <w:p>
            <w:pPr>
              <w:spacing w:after="0" w:before="0" w:line="240" w:lineRule="auto"/>
            </w:pPr>
            <w:r>
              <w:rPr>
                <w:sz w:val="16"/>
              </w:rPr>
              <w:t>Shoot/provider config</w:t>
            </w:r>
          </w:p>
        </w:tc>
        <w:tc>
          <w:tcPr>
            <w:tcW w:type="dxa" w:w="3389"/>
            <w:vAlign w:val="top"/>
          </w:tcPr>
          <w:p>
            <w:pPr>
              <w:spacing w:after="0" w:before="0" w:line="240" w:lineRule="auto"/>
            </w:pPr>
            <w:r>
              <w:rPr>
                <w:sz w:val="16"/>
              </w:rPr>
              <w:t>Must match backend network context</w:t>
            </w:r>
          </w:p>
        </w:tc>
      </w:tr>
      <w:tr>
        <w:tc>
          <w:tcPr>
            <w:tcW w:type="dxa" w:w="3389"/>
            <w:vAlign w:val="top"/>
          </w:tcPr>
          <w:p>
            <w:pPr>
              <w:spacing w:after="0" w:before="0" w:line="240" w:lineRule="auto"/>
            </w:pPr>
            <w:r>
              <w:rPr>
                <w:sz w:val="16"/>
              </w:rPr>
              <w:t>Labels</w:t>
            </w:r>
          </w:p>
        </w:tc>
        <w:tc>
          <w:tcPr>
            <w:tcW w:type="dxa" w:w="3389"/>
            <w:vAlign w:val="top"/>
          </w:tcPr>
          <w:p>
            <w:pPr>
              <w:spacing w:after="0" w:before="0" w:line="240" w:lineRule="auto"/>
            </w:pPr>
            <w:r>
              <w:rPr>
                <w:sz w:val="16"/>
              </w:rPr>
              <w:t>OwnershipProvider</w:t>
            </w:r>
          </w:p>
        </w:tc>
        <w:tc>
          <w:tcPr>
            <w:tcW w:type="dxa" w:w="3389"/>
            <w:vAlign w:val="top"/>
          </w:tcPr>
          <w:p>
            <w:pPr>
              <w:spacing w:after="0" w:before="0" w:line="240" w:lineRule="auto"/>
            </w:pPr>
            <w:r>
              <w:rPr>
                <w:sz w:val="16"/>
              </w:rPr>
              <w:t>Canonical managed-by, cluster and source identity</w:t>
            </w:r>
          </w:p>
        </w:tc>
      </w:tr>
    </w:tbl>
    <w:p>
      <w:pPr>
        <w:pStyle w:val="Heading2"/>
      </w:pPr>
      <w:r>
        <w:t>7.2 VIPSpec</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Field</w:t>
            </w:r>
          </w:p>
        </w:tc>
        <w:tc>
          <w:tcPr>
            <w:tcW w:type="dxa" w:w="5083"/>
            <w:shd w:fill="D9EAF7"/>
            <w:vAlign w:val="center"/>
          </w:tcPr>
          <w:p>
            <w:pPr>
              <w:spacing w:after="0" w:before="0" w:line="240" w:lineRule="auto"/>
            </w:pPr>
            <w:r>
              <w:rPr>
                <w:sz w:val="16"/>
              </w:rPr>
              <w:t>Meaning</w:t>
            </w:r>
          </w:p>
        </w:tc>
      </w:tr>
      <w:tr>
        <w:tc>
          <w:tcPr>
            <w:tcW w:type="dxa" w:w="5083"/>
            <w:vAlign w:val="top"/>
          </w:tcPr>
          <w:p>
            <w:pPr>
              <w:spacing w:after="0" w:before="0" w:line="240" w:lineRule="auto"/>
            </w:pPr>
            <w:r>
              <w:rPr>
                <w:sz w:val="16"/>
              </w:rPr>
              <w:t>LBServiceRef</w:t>
            </w:r>
          </w:p>
        </w:tc>
        <w:tc>
          <w:tcPr>
            <w:tcW w:type="dxa" w:w="5083"/>
            <w:vAlign w:val="top"/>
          </w:tcPr>
          <w:p>
            <w:pPr>
              <w:spacing w:after="0" w:before="0" w:line="240" w:lineRule="auto"/>
            </w:pPr>
            <w:r>
              <w:rPr>
                <w:sz w:val="16"/>
              </w:rPr>
              <w:t>Logical reference to parent</w:t>
            </w:r>
          </w:p>
        </w:tc>
      </w:tr>
      <w:tr>
        <w:tc>
          <w:tcPr>
            <w:tcW w:type="dxa" w:w="5083"/>
            <w:vAlign w:val="top"/>
          </w:tcPr>
          <w:p>
            <w:pPr>
              <w:spacing w:after="0" w:before="0" w:line="240" w:lineRule="auto"/>
            </w:pPr>
            <w:r>
              <w:rPr>
                <w:sz w:val="16"/>
              </w:rPr>
              <w:t>RequestedAddress</w:t>
            </w:r>
          </w:p>
        </w:tc>
        <w:tc>
          <w:tcPr>
            <w:tcW w:type="dxa" w:w="5083"/>
            <w:vAlign w:val="top"/>
          </w:tcPr>
          <w:p>
            <w:pPr>
              <w:spacing w:after="0" w:before="0" w:line="240" w:lineRule="auto"/>
            </w:pPr>
            <w:r>
              <w:rPr>
                <w:sz w:val="16"/>
              </w:rPr>
              <w:t>Optional only if API and policy allow static address</w:t>
            </w:r>
          </w:p>
        </w:tc>
      </w:tr>
      <w:tr>
        <w:tc>
          <w:tcPr>
            <w:tcW w:type="dxa" w:w="5083"/>
            <w:vAlign w:val="top"/>
          </w:tcPr>
          <w:p>
            <w:pPr>
              <w:spacing w:after="0" w:before="0" w:line="240" w:lineRule="auto"/>
            </w:pPr>
            <w:r>
              <w:rPr>
                <w:sz w:val="16"/>
              </w:rPr>
              <w:t>AddressFamily</w:t>
            </w:r>
          </w:p>
        </w:tc>
        <w:tc>
          <w:tcPr>
            <w:tcW w:type="dxa" w:w="5083"/>
            <w:vAlign w:val="top"/>
          </w:tcPr>
          <w:p>
            <w:pPr>
              <w:spacing w:after="0" w:before="0" w:line="240" w:lineRule="auto"/>
            </w:pPr>
            <w:r>
              <w:rPr>
                <w:sz w:val="16"/>
              </w:rPr>
              <w:t>IPv4 initially; dual stack deferred until verified</w:t>
            </w:r>
          </w:p>
        </w:tc>
      </w:tr>
      <w:tr>
        <w:tc>
          <w:tcPr>
            <w:tcW w:type="dxa" w:w="5083"/>
            <w:vAlign w:val="top"/>
          </w:tcPr>
          <w:p>
            <w:pPr>
              <w:spacing w:after="0" w:before="0" w:line="240" w:lineRule="auto"/>
            </w:pPr>
            <w:r>
              <w:rPr>
                <w:sz w:val="16"/>
              </w:rPr>
              <w:t>Scheme/Visibility</w:t>
            </w:r>
          </w:p>
        </w:tc>
        <w:tc>
          <w:tcPr>
            <w:tcW w:type="dxa" w:w="5083"/>
            <w:vAlign w:val="top"/>
          </w:tcPr>
          <w:p>
            <w:pPr>
              <w:spacing w:after="0" w:before="0" w:line="240" w:lineRule="auto"/>
            </w:pPr>
            <w:r>
              <w:rPr>
                <w:sz w:val="16"/>
              </w:rPr>
              <w:t>Provider-supported visibility policy</w:t>
            </w:r>
          </w:p>
        </w:tc>
      </w:tr>
      <w:tr>
        <w:tc>
          <w:tcPr>
            <w:tcW w:type="dxa" w:w="5083"/>
            <w:vAlign w:val="top"/>
          </w:tcPr>
          <w:p>
            <w:pPr>
              <w:spacing w:after="0" w:before="0" w:line="240" w:lineRule="auto"/>
            </w:pPr>
            <w:r>
              <w:rPr>
                <w:sz w:val="16"/>
              </w:rPr>
              <w:t>Ownership</w:t>
            </w:r>
          </w:p>
        </w:tc>
        <w:tc>
          <w:tcPr>
            <w:tcW w:type="dxa" w:w="5083"/>
            <w:vAlign w:val="top"/>
          </w:tcPr>
          <w:p>
            <w:pPr>
              <w:spacing w:after="0" w:before="0" w:line="240" w:lineRule="auto"/>
            </w:pPr>
            <w:r>
              <w:rPr>
                <w:sz w:val="16"/>
              </w:rPr>
              <w:t>Inherited plus role=vip</w:t>
            </w:r>
          </w:p>
        </w:tc>
      </w:tr>
    </w:tbl>
    <w:p>
      <w:pPr>
        <w:pStyle w:val="Heading2"/>
      </w:pPr>
      <w:r>
        <w:t>7.3 VirtualServerSpec</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Field</w:t>
            </w:r>
          </w:p>
        </w:tc>
        <w:tc>
          <w:tcPr>
            <w:tcW w:type="dxa" w:w="5083"/>
            <w:shd w:fill="D9EAF7"/>
            <w:vAlign w:val="center"/>
          </w:tcPr>
          <w:p>
            <w:pPr>
              <w:spacing w:after="0" w:before="0" w:line="240" w:lineRule="auto"/>
            </w:pPr>
            <w:r>
              <w:rPr>
                <w:sz w:val="16"/>
              </w:rPr>
              <w:t>Meaning</w:t>
            </w:r>
          </w:p>
        </w:tc>
      </w:tr>
      <w:tr>
        <w:tc>
          <w:tcPr>
            <w:tcW w:type="dxa" w:w="5083"/>
            <w:vAlign w:val="top"/>
          </w:tcPr>
          <w:p>
            <w:pPr>
              <w:spacing w:after="0" w:before="0" w:line="240" w:lineRule="auto"/>
            </w:pPr>
            <w:r>
              <w:rPr>
                <w:sz w:val="16"/>
              </w:rPr>
              <w:t>VIPRef</w:t>
            </w:r>
          </w:p>
        </w:tc>
        <w:tc>
          <w:tcPr>
            <w:tcW w:type="dxa" w:w="5083"/>
            <w:vAlign w:val="top"/>
          </w:tcPr>
          <w:p>
            <w:pPr>
              <w:spacing w:after="0" w:before="0" w:line="240" w:lineRule="auto"/>
            </w:pPr>
            <w:r>
              <w:rPr>
                <w:sz w:val="16"/>
              </w:rPr>
              <w:t>Frontend address reference</w:t>
            </w:r>
          </w:p>
        </w:tc>
      </w:tr>
      <w:tr>
        <w:tc>
          <w:tcPr>
            <w:tcW w:type="dxa" w:w="5083"/>
            <w:vAlign w:val="top"/>
          </w:tcPr>
          <w:p>
            <w:pPr>
              <w:spacing w:after="0" w:before="0" w:line="240" w:lineRule="auto"/>
            </w:pPr>
            <w:r>
              <w:rPr>
                <w:sz w:val="16"/>
              </w:rPr>
              <w:t>Protocol</w:t>
            </w:r>
          </w:p>
        </w:tc>
        <w:tc>
          <w:tcPr>
            <w:tcW w:type="dxa" w:w="5083"/>
            <w:vAlign w:val="top"/>
          </w:tcPr>
          <w:p>
            <w:pPr>
              <w:spacing w:after="0" w:before="0" w:line="240" w:lineRule="auto"/>
            </w:pPr>
            <w:r>
              <w:rPr>
                <w:sz w:val="16"/>
              </w:rPr>
              <w:t>TCP/HTTP/HTTPS according to validated mapping</w:t>
            </w:r>
          </w:p>
        </w:tc>
      </w:tr>
      <w:tr>
        <w:tc>
          <w:tcPr>
            <w:tcW w:type="dxa" w:w="5083"/>
            <w:vAlign w:val="top"/>
          </w:tcPr>
          <w:p>
            <w:pPr>
              <w:spacing w:after="0" w:before="0" w:line="240" w:lineRule="auto"/>
            </w:pPr>
            <w:r>
              <w:rPr>
                <w:sz w:val="16"/>
              </w:rPr>
              <w:t>Port</w:t>
            </w:r>
          </w:p>
        </w:tc>
        <w:tc>
          <w:tcPr>
            <w:tcW w:type="dxa" w:w="5083"/>
            <w:vAlign w:val="top"/>
          </w:tcPr>
          <w:p>
            <w:pPr>
              <w:spacing w:after="0" w:before="0" w:line="240" w:lineRule="auto"/>
            </w:pPr>
            <w:r>
              <w:rPr>
                <w:sz w:val="16"/>
              </w:rPr>
              <w:t>Frontend service/listener port</w:t>
            </w:r>
          </w:p>
        </w:tc>
      </w:tr>
      <w:tr>
        <w:tc>
          <w:tcPr>
            <w:tcW w:type="dxa" w:w="5083"/>
            <w:vAlign w:val="top"/>
          </w:tcPr>
          <w:p>
            <w:pPr>
              <w:spacing w:after="0" w:before="0" w:line="240" w:lineRule="auto"/>
            </w:pPr>
            <w:r>
              <w:rPr>
                <w:sz w:val="16"/>
              </w:rPr>
              <w:t>Persistence</w:t>
            </w:r>
          </w:p>
        </w:tc>
        <w:tc>
          <w:tcPr>
            <w:tcW w:type="dxa" w:w="5083"/>
            <w:vAlign w:val="top"/>
          </w:tcPr>
          <w:p>
            <w:pPr>
              <w:spacing w:after="0" w:before="0" w:line="240" w:lineRule="auto"/>
            </w:pPr>
            <w:r>
              <w:rPr>
                <w:sz w:val="16"/>
              </w:rPr>
              <w:t>CMP-supported persistence policy</w:t>
            </w:r>
          </w:p>
        </w:tc>
      </w:tr>
      <w:tr>
        <w:tc>
          <w:tcPr>
            <w:tcW w:type="dxa" w:w="5083"/>
            <w:vAlign w:val="top"/>
          </w:tcPr>
          <w:p>
            <w:pPr>
              <w:spacing w:after="0" w:before="0" w:line="240" w:lineRule="auto"/>
            </w:pPr>
            <w:r>
              <w:rPr>
                <w:sz w:val="16"/>
              </w:rPr>
              <w:t>DefaultPoolRef</w:t>
            </w:r>
          </w:p>
        </w:tc>
        <w:tc>
          <w:tcPr>
            <w:tcW w:type="dxa" w:w="5083"/>
            <w:vAlign w:val="top"/>
          </w:tcPr>
          <w:p>
            <w:pPr>
              <w:spacing w:after="0" w:before="0" w:line="240" w:lineRule="auto"/>
            </w:pPr>
            <w:r>
              <w:rPr>
                <w:sz w:val="16"/>
              </w:rPr>
              <w:t>Pool used when no rule matches</w:t>
            </w:r>
          </w:p>
        </w:tc>
      </w:tr>
      <w:tr>
        <w:tc>
          <w:tcPr>
            <w:tcW w:type="dxa" w:w="5083"/>
            <w:vAlign w:val="top"/>
          </w:tcPr>
          <w:p>
            <w:pPr>
              <w:spacing w:after="0" w:before="0" w:line="240" w:lineRule="auto"/>
            </w:pPr>
            <w:r>
              <w:rPr>
                <w:sz w:val="16"/>
              </w:rPr>
              <w:t>CertificateRefs</w:t>
            </w:r>
          </w:p>
        </w:tc>
        <w:tc>
          <w:tcPr>
            <w:tcW w:type="dxa" w:w="5083"/>
            <w:vAlign w:val="top"/>
          </w:tcPr>
          <w:p>
            <w:pPr>
              <w:spacing w:after="0" w:before="0" w:line="240" w:lineRule="auto"/>
            </w:pPr>
            <w:r>
              <w:rPr>
                <w:sz w:val="16"/>
              </w:rPr>
              <w:t>TLS attachments</w:t>
            </w:r>
          </w:p>
        </w:tc>
      </w:tr>
      <w:tr>
        <w:tc>
          <w:tcPr>
            <w:tcW w:type="dxa" w:w="5083"/>
            <w:vAlign w:val="top"/>
          </w:tcPr>
          <w:p>
            <w:pPr>
              <w:spacing w:after="0" w:before="0" w:line="240" w:lineRule="auto"/>
            </w:pPr>
            <w:r>
              <w:rPr>
                <w:sz w:val="16"/>
              </w:rPr>
              <w:t>SourceCIDRs</w:t>
            </w:r>
          </w:p>
        </w:tc>
        <w:tc>
          <w:tcPr>
            <w:tcW w:type="dxa" w:w="5083"/>
            <w:vAlign w:val="top"/>
          </w:tcPr>
          <w:p>
            <w:pPr>
              <w:spacing w:after="0" w:before="0" w:line="240" w:lineRule="auto"/>
            </w:pPr>
            <w:r>
              <w:rPr>
                <w:sz w:val="16"/>
              </w:rPr>
              <w:t>Only if CMP endpoint supports equivalent semantics</w:t>
            </w:r>
          </w:p>
        </w:tc>
      </w:tr>
      <w:tr>
        <w:tc>
          <w:tcPr>
            <w:tcW w:type="dxa" w:w="5083"/>
            <w:vAlign w:val="top"/>
          </w:tcPr>
          <w:p>
            <w:pPr>
              <w:spacing w:after="0" w:before="0" w:line="240" w:lineRule="auto"/>
            </w:pPr>
            <w:r>
              <w:rPr>
                <w:sz w:val="16"/>
              </w:rPr>
              <w:t>ConnectionPolicy</w:t>
            </w:r>
          </w:p>
        </w:tc>
        <w:tc>
          <w:tcPr>
            <w:tcW w:type="dxa" w:w="5083"/>
            <w:vAlign w:val="top"/>
          </w:tcPr>
          <w:p>
            <w:pPr>
              <w:spacing w:after="0" w:before="0" w:line="240" w:lineRule="auto"/>
            </w:pPr>
            <w:r>
              <w:rPr>
                <w:sz w:val="16"/>
              </w:rPr>
              <w:t>Only supported CMP attributes</w:t>
            </w:r>
          </w:p>
        </w:tc>
      </w:tr>
    </w:tbl>
    <w:p>
      <w:pPr>
        <w:pStyle w:val="Heading2"/>
      </w:pPr>
      <w:r>
        <w:t>7.4 BackendPool and Member specifications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Type</w:t>
            </w:r>
          </w:p>
        </w:tc>
        <w:tc>
          <w:tcPr>
            <w:tcW w:type="dxa" w:w="5083"/>
            <w:shd w:fill="D9EAF7"/>
            <w:vAlign w:val="center"/>
          </w:tcPr>
          <w:p>
            <w:pPr>
              <w:spacing w:after="0" w:before="0" w:line="240" w:lineRule="auto"/>
            </w:pPr>
            <w:r>
              <w:rPr>
                <w:sz w:val="16"/>
              </w:rPr>
              <w:t>Critical fields</w:t>
            </w:r>
          </w:p>
        </w:tc>
      </w:tr>
      <w:tr>
        <w:tc>
          <w:tcPr>
            <w:tcW w:type="dxa" w:w="5083"/>
            <w:vAlign w:val="top"/>
          </w:tcPr>
          <w:p>
            <w:pPr>
              <w:spacing w:after="0" w:before="0" w:line="240" w:lineRule="auto"/>
            </w:pPr>
            <w:r>
              <w:rPr>
                <w:sz w:val="16"/>
              </w:rPr>
              <w:t>BackendPoolSpec</w:t>
            </w:r>
          </w:p>
        </w:tc>
        <w:tc>
          <w:tcPr>
            <w:tcW w:type="dxa" w:w="5083"/>
            <w:vAlign w:val="top"/>
          </w:tcPr>
          <w:p>
            <w:pPr>
              <w:spacing w:after="0" w:before="0" w:line="240" w:lineRule="auto"/>
            </w:pPr>
            <w:r>
              <w:rPr>
                <w:sz w:val="16"/>
              </w:rPr>
              <w:t>VirtualServerRef, algorithm, default flag, monitor reference, backend key</w:t>
            </w:r>
          </w:p>
        </w:tc>
      </w:tr>
      <w:tr>
        <w:tc>
          <w:tcPr>
            <w:tcW w:type="dxa" w:w="5083"/>
            <w:vAlign w:val="top"/>
          </w:tcPr>
          <w:p>
            <w:pPr>
              <w:spacing w:after="0" w:before="0" w:line="240" w:lineRule="auto"/>
            </w:pPr>
            <w:r>
              <w:rPr>
                <w:sz w:val="16"/>
              </w:rPr>
              <w:t>BackendMemberSpec</w:t>
            </w:r>
          </w:p>
        </w:tc>
        <w:tc>
          <w:tcPr>
            <w:tcW w:type="dxa" w:w="5083"/>
            <w:vAlign w:val="top"/>
          </w:tcPr>
          <w:p>
            <w:pPr>
              <w:spacing w:after="0" w:before="0" w:line="240" w:lineRule="auto"/>
            </w:pPr>
            <w:r>
              <w:rPr>
                <w:sz w:val="16"/>
              </w:rPr>
              <w:t>resource_id, resource_type, resource_ip, backend_port_id, port, weight, administrative state</w:t>
            </w:r>
          </w:p>
        </w:tc>
      </w:tr>
      <w:tr>
        <w:tc>
          <w:tcPr>
            <w:tcW w:type="dxa" w:w="5083"/>
            <w:vAlign w:val="top"/>
          </w:tcPr>
          <w:p>
            <w:pPr>
              <w:spacing w:after="0" w:before="0" w:line="240" w:lineRule="auto"/>
            </w:pPr>
            <w:r>
              <w:rPr>
                <w:sz w:val="16"/>
              </w:rPr>
              <w:t>HealthMonitorSpec</w:t>
            </w:r>
          </w:p>
        </w:tc>
        <w:tc>
          <w:tcPr>
            <w:tcW w:type="dxa" w:w="5083"/>
            <w:vAlign w:val="top"/>
          </w:tcPr>
          <w:p>
            <w:pPr>
              <w:spacing w:after="0" w:before="0" w:line="240" w:lineRule="auto"/>
            </w:pPr>
            <w:r>
              <w:rPr>
                <w:sz w:val="16"/>
              </w:rPr>
              <w:t>type, interval, timeout, retries, HTTP path/expected response when supported</w:t>
            </w:r>
          </w:p>
        </w:tc>
      </w:tr>
    </w:tbl>
    <w:p>
      <w:r>
        <w:br w:type="page"/>
      </w:r>
    </w:p>
    <w:p>
      <w:pPr>
        <w:pStyle w:val="Heading1"/>
      </w:pPr>
      <w:r>
        <w:t>8. Logical IDs, Naming and Determinism</w:t>
      </w:r>
    </w:p>
    <w:p>
      <w:pPr>
        <w:spacing w:after="80"/>
      </w:pPr>
      <w:r>
        <w:t>Logical IDs are controller-internal identities used to connect the graph and correlate desired and observed resources. Provider names are separately sanitized. Neither replaces provider external IDs returned by CMP.</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Resource</w:t>
            </w:r>
          </w:p>
        </w:tc>
        <w:tc>
          <w:tcPr>
            <w:tcW w:type="dxa" w:w="5083"/>
            <w:shd w:fill="D9EAF7"/>
            <w:vAlign w:val="center"/>
          </w:tcPr>
          <w:p>
            <w:pPr>
              <w:spacing w:after="0" w:before="0" w:line="240" w:lineRule="auto"/>
            </w:pPr>
            <w:r>
              <w:rPr>
                <w:sz w:val="16"/>
              </w:rPr>
              <w:t>Logical-ID input example</w:t>
            </w:r>
          </w:p>
        </w:tc>
      </w:tr>
      <w:tr>
        <w:tc>
          <w:tcPr>
            <w:tcW w:type="dxa" w:w="5083"/>
            <w:vAlign w:val="top"/>
          </w:tcPr>
          <w:p>
            <w:pPr>
              <w:spacing w:after="0" w:before="0" w:line="240" w:lineRule="auto"/>
            </w:pPr>
            <w:r>
              <w:rPr>
                <w:sz w:val="16"/>
              </w:rPr>
              <w:t>LB Service</w:t>
            </w:r>
          </w:p>
        </w:tc>
        <w:tc>
          <w:tcPr>
            <w:tcW w:type="dxa" w:w="5083"/>
            <w:vAlign w:val="top"/>
          </w:tcPr>
          <w:p>
            <w:pPr>
              <w:spacing w:after="0" w:before="0" w:line="240" w:lineRule="auto"/>
            </w:pPr>
            <w:r>
              <w:rPr>
                <w:sz w:val="16"/>
              </w:rPr>
              <w:t>clusterUID/sourceKind/sourceUID/sharedGroup</w:t>
            </w:r>
          </w:p>
        </w:tc>
      </w:tr>
      <w:tr>
        <w:tc>
          <w:tcPr>
            <w:tcW w:type="dxa" w:w="5083"/>
            <w:vAlign w:val="top"/>
          </w:tcPr>
          <w:p>
            <w:pPr>
              <w:spacing w:after="0" w:before="0" w:line="240" w:lineRule="auto"/>
            </w:pPr>
            <w:r>
              <w:rPr>
                <w:sz w:val="16"/>
              </w:rPr>
              <w:t>VIP</w:t>
            </w:r>
          </w:p>
        </w:tc>
        <w:tc>
          <w:tcPr>
            <w:tcW w:type="dxa" w:w="5083"/>
            <w:vAlign w:val="top"/>
          </w:tcPr>
          <w:p>
            <w:pPr>
              <w:spacing w:after="0" w:before="0" w:line="240" w:lineRule="auto"/>
            </w:pPr>
            <w:r>
              <w:rPr>
                <w:sz w:val="16"/>
              </w:rPr>
              <w:t>stackKey/frontend-address-family</w:t>
            </w:r>
          </w:p>
        </w:tc>
      </w:tr>
      <w:tr>
        <w:tc>
          <w:tcPr>
            <w:tcW w:type="dxa" w:w="5083"/>
            <w:vAlign w:val="top"/>
          </w:tcPr>
          <w:p>
            <w:pPr>
              <w:spacing w:after="0" w:before="0" w:line="240" w:lineRule="auto"/>
            </w:pPr>
            <w:r>
              <w:rPr>
                <w:sz w:val="16"/>
              </w:rPr>
              <w:t>Virtual Server</w:t>
            </w:r>
          </w:p>
        </w:tc>
        <w:tc>
          <w:tcPr>
            <w:tcW w:type="dxa" w:w="5083"/>
            <w:vAlign w:val="top"/>
          </w:tcPr>
          <w:p>
            <w:pPr>
              <w:spacing w:after="0" w:before="0" w:line="240" w:lineRule="auto"/>
            </w:pPr>
            <w:r>
              <w:rPr>
                <w:sz w:val="16"/>
              </w:rPr>
              <w:t>stackKey/protocol/frontendPort</w:t>
            </w:r>
          </w:p>
        </w:tc>
      </w:tr>
      <w:tr>
        <w:tc>
          <w:tcPr>
            <w:tcW w:type="dxa" w:w="5083"/>
            <w:vAlign w:val="top"/>
          </w:tcPr>
          <w:p>
            <w:pPr>
              <w:spacing w:after="0" w:before="0" w:line="240" w:lineRule="auto"/>
            </w:pPr>
            <w:r>
              <w:rPr>
                <w:sz w:val="16"/>
              </w:rPr>
              <w:t>Pool</w:t>
            </w:r>
          </w:p>
        </w:tc>
        <w:tc>
          <w:tcPr>
            <w:tcW w:type="dxa" w:w="5083"/>
            <w:vAlign w:val="top"/>
          </w:tcPr>
          <w:p>
            <w:pPr>
              <w:spacing w:after="0" w:before="0" w:line="240" w:lineRule="auto"/>
            </w:pPr>
            <w:r>
              <w:rPr>
                <w:sz w:val="16"/>
              </w:rPr>
              <w:t>stackKey/backendServiceUID/backendPort/routing-scope</w:t>
            </w:r>
          </w:p>
        </w:tc>
      </w:tr>
      <w:tr>
        <w:tc>
          <w:tcPr>
            <w:tcW w:type="dxa" w:w="5083"/>
            <w:vAlign w:val="top"/>
          </w:tcPr>
          <w:p>
            <w:pPr>
              <w:spacing w:after="0" w:before="0" w:line="240" w:lineRule="auto"/>
            </w:pPr>
            <w:r>
              <w:rPr>
                <w:sz w:val="16"/>
              </w:rPr>
              <w:t>Member</w:t>
            </w:r>
          </w:p>
        </w:tc>
        <w:tc>
          <w:tcPr>
            <w:tcW w:type="dxa" w:w="5083"/>
            <w:vAlign w:val="top"/>
          </w:tcPr>
          <w:p>
            <w:pPr>
              <w:spacing w:after="0" w:before="0" w:line="240" w:lineRule="auto"/>
            </w:pPr>
            <w:r>
              <w:rPr>
                <w:sz w:val="16"/>
              </w:rPr>
              <w:t>poolLogicalID/nodeUID/nodePort</w:t>
            </w:r>
          </w:p>
        </w:tc>
      </w:tr>
      <w:tr>
        <w:tc>
          <w:tcPr>
            <w:tcW w:type="dxa" w:w="5083"/>
            <w:vAlign w:val="top"/>
          </w:tcPr>
          <w:p>
            <w:pPr>
              <w:spacing w:after="0" w:before="0" w:line="240" w:lineRule="auto"/>
            </w:pPr>
            <w:r>
              <w:rPr>
                <w:sz w:val="16"/>
              </w:rPr>
              <w:t>Routing Rule</w:t>
            </w:r>
          </w:p>
        </w:tc>
        <w:tc>
          <w:tcPr>
            <w:tcW w:type="dxa" w:w="5083"/>
            <w:vAlign w:val="top"/>
          </w:tcPr>
          <w:p>
            <w:pPr>
              <w:spacing w:after="0" w:before="0" w:line="240" w:lineRule="auto"/>
            </w:pPr>
            <w:r>
              <w:rPr>
                <w:sz w:val="16"/>
              </w:rPr>
              <w:t>virtualServerLogicalID/host/path/pathType/priority</w:t>
            </w:r>
          </w:p>
        </w:tc>
      </w:tr>
      <w:tr>
        <w:tc>
          <w:tcPr>
            <w:tcW w:type="dxa" w:w="5083"/>
            <w:vAlign w:val="top"/>
          </w:tcPr>
          <w:p>
            <w:pPr>
              <w:spacing w:after="0" w:before="0" w:line="240" w:lineRule="auto"/>
            </w:pPr>
            <w:r>
              <w:rPr>
                <w:sz w:val="16"/>
              </w:rPr>
              <w:t>Monitor</w:t>
            </w:r>
          </w:p>
        </w:tc>
        <w:tc>
          <w:tcPr>
            <w:tcW w:type="dxa" w:w="5083"/>
            <w:vAlign w:val="top"/>
          </w:tcPr>
          <w:p>
            <w:pPr>
              <w:spacing w:after="0" w:before="0" w:line="240" w:lineRule="auto"/>
            </w:pPr>
            <w:r>
              <w:rPr>
                <w:sz w:val="16"/>
              </w:rPr>
              <w:t>poolLogicalID/monitor-fingerprint</w:t>
            </w:r>
          </w:p>
        </w:tc>
      </w:tr>
    </w:tbl>
    <w:p>
      <w:pPr>
        <w:pStyle w:val="CodeBlock"/>
      </w:pPr>
      <w:r>
        <w:t>logicalID = SHA256(canonical components) shortened only for display</w:t>
        <w:br/>
        <w:t>providerName = sanitize(readable prefix + short hash)</w:t>
        <w:br/>
        <w:t>externalID = value returned by CMP; never derived</w:t>
      </w:r>
    </w:p>
    <w:p>
      <w:r>
        <w:br w:type="page"/>
      </w:r>
    </w:p>
    <w:p>
      <w:pPr>
        <w:pStyle w:val="Heading1"/>
      </w:pPr>
      <w:r>
        <w:t>9. Desired and Observed State Separation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Desired state</w:t>
            </w:r>
          </w:p>
        </w:tc>
        <w:tc>
          <w:tcPr>
            <w:tcW w:type="dxa" w:w="5083"/>
            <w:shd w:fill="D9EAF7"/>
            <w:vAlign w:val="center"/>
          </w:tcPr>
          <w:p>
            <w:pPr>
              <w:spacing w:after="0" w:before="0" w:line="240" w:lineRule="auto"/>
            </w:pPr>
            <w:r>
              <w:rPr>
                <w:sz w:val="16"/>
              </w:rPr>
              <w:t>Observed state</w:t>
            </w:r>
          </w:p>
        </w:tc>
      </w:tr>
      <w:tr>
        <w:tc>
          <w:tcPr>
            <w:tcW w:type="dxa" w:w="5083"/>
            <w:vAlign w:val="top"/>
          </w:tcPr>
          <w:p>
            <w:pPr>
              <w:spacing w:after="0" w:before="0" w:line="240" w:lineRule="auto"/>
            </w:pPr>
            <w:r>
              <w:rPr>
                <w:sz w:val="16"/>
              </w:rPr>
              <w:t>Built exclusively from Kubernetes intent, controller configuration and authoritative identity resolution</w:t>
            </w:r>
          </w:p>
        </w:tc>
        <w:tc>
          <w:tcPr>
            <w:tcW w:type="dxa" w:w="5083"/>
            <w:vAlign w:val="top"/>
          </w:tcPr>
          <w:p>
            <w:pPr>
              <w:spacing w:after="0" w:before="0" w:line="240" w:lineRule="auto"/>
            </w:pPr>
            <w:r>
              <w:rPr>
                <w:sz w:val="16"/>
              </w:rPr>
              <w:t>Read from CMP APIs and Kubernetes status/annotations used solely as hints</w:t>
            </w:r>
          </w:p>
        </w:tc>
      </w:tr>
      <w:tr>
        <w:tc>
          <w:tcPr>
            <w:tcW w:type="dxa" w:w="5083"/>
            <w:vAlign w:val="top"/>
          </w:tcPr>
          <w:p>
            <w:pPr>
              <w:spacing w:after="0" w:before="0" w:line="240" w:lineRule="auto"/>
            </w:pPr>
            <w:r>
              <w:rPr>
                <w:sz w:val="16"/>
              </w:rPr>
              <w:t>Contains logical references</w:t>
            </w:r>
          </w:p>
        </w:tc>
        <w:tc>
          <w:tcPr>
            <w:tcW w:type="dxa" w:w="5083"/>
            <w:vAlign w:val="top"/>
          </w:tcPr>
          <w:p>
            <w:pPr>
              <w:spacing w:after="0" w:before="0" w:line="240" w:lineRule="auto"/>
            </w:pPr>
            <w:r>
              <w:rPr>
                <w:sz w:val="16"/>
              </w:rPr>
              <w:t>Contains external provider IDs and provisioning status</w:t>
            </w:r>
          </w:p>
        </w:tc>
      </w:tr>
      <w:tr>
        <w:tc>
          <w:tcPr>
            <w:tcW w:type="dxa" w:w="5083"/>
            <w:vAlign w:val="top"/>
          </w:tcPr>
          <w:p>
            <w:pPr>
              <w:spacing w:after="0" w:before="0" w:line="240" w:lineRule="auto"/>
            </w:pPr>
            <w:r>
              <w:rPr>
                <w:sz w:val="16"/>
              </w:rPr>
              <w:t>May request creation/update/deletion</w:t>
            </w:r>
          </w:p>
        </w:tc>
        <w:tc>
          <w:tcPr>
            <w:tcW w:type="dxa" w:w="5083"/>
            <w:vAlign w:val="top"/>
          </w:tcPr>
          <w:p>
            <w:pPr>
              <w:spacing w:after="0" w:before="0" w:line="240" w:lineRule="auto"/>
            </w:pPr>
            <w:r>
              <w:rPr>
                <w:sz w:val="16"/>
              </w:rPr>
              <w:t>Never directly changes desired semantics</w:t>
            </w:r>
          </w:p>
        </w:tc>
      </w:tr>
      <w:tr>
        <w:tc>
          <w:tcPr>
            <w:tcW w:type="dxa" w:w="5083"/>
            <w:vAlign w:val="top"/>
          </w:tcPr>
          <w:p>
            <w:pPr>
              <w:spacing w:after="0" w:before="0" w:line="240" w:lineRule="auto"/>
            </w:pPr>
            <w:r>
              <w:rPr>
                <w:sz w:val="16"/>
              </w:rPr>
              <w:t>Deterministic for same inputs</w:t>
            </w:r>
          </w:p>
        </w:tc>
        <w:tc>
          <w:tcPr>
            <w:tcW w:type="dxa" w:w="5083"/>
            <w:vAlign w:val="top"/>
          </w:tcPr>
          <w:p>
            <w:pPr>
              <w:spacing w:after="0" w:before="0" w:line="240" w:lineRule="auto"/>
            </w:pPr>
            <w:r>
              <w:rPr>
                <w:sz w:val="16"/>
              </w:rPr>
              <w:t>May be temporarily incomplete because CMP is asynchronous</w:t>
            </w:r>
          </w:p>
        </w:tc>
      </w:tr>
    </w:tbl>
    <w:p>
      <w:pPr>
        <w:spacing w:after="80"/>
      </w:pPr>
      <w:r>
        <w:t>The deployment layer compares normalized specifications, not raw JSON. Server-generated fields, timestamps, request IDs and provider defaults are removed or canonicalized before equality decisions.</w:t>
      </w:r>
    </w:p>
    <w:p>
      <w:pPr>
        <w:pStyle w:val="Heading2"/>
      </w:pPr>
      <w:r>
        <w:t>9.1 Plan operations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Operation</w:t>
            </w:r>
          </w:p>
        </w:tc>
        <w:tc>
          <w:tcPr>
            <w:tcW w:type="dxa" w:w="5083"/>
            <w:shd w:fill="D9EAF7"/>
            <w:vAlign w:val="center"/>
          </w:tcPr>
          <w:p>
            <w:pPr>
              <w:spacing w:after="0" w:before="0" w:line="240" w:lineRule="auto"/>
            </w:pPr>
            <w:r>
              <w:rPr>
                <w:sz w:val="16"/>
              </w:rPr>
              <w:t>Condition</w:t>
            </w:r>
          </w:p>
        </w:tc>
      </w:tr>
      <w:tr>
        <w:tc>
          <w:tcPr>
            <w:tcW w:type="dxa" w:w="5083"/>
            <w:vAlign w:val="top"/>
          </w:tcPr>
          <w:p>
            <w:pPr>
              <w:spacing w:after="0" w:before="0" w:line="240" w:lineRule="auto"/>
            </w:pPr>
            <w:r>
              <w:rPr>
                <w:sz w:val="16"/>
              </w:rPr>
              <w:t>Create</w:t>
            </w:r>
          </w:p>
        </w:tc>
        <w:tc>
          <w:tcPr>
            <w:tcW w:type="dxa" w:w="5083"/>
            <w:vAlign w:val="top"/>
          </w:tcPr>
          <w:p>
            <w:pPr>
              <w:spacing w:after="0" w:before="0" w:line="240" w:lineRule="auto"/>
            </w:pPr>
            <w:r>
              <w:rPr>
                <w:sz w:val="16"/>
              </w:rPr>
              <w:t>Desired resource exists; no owned observed resource</w:t>
            </w:r>
          </w:p>
        </w:tc>
      </w:tr>
      <w:tr>
        <w:tc>
          <w:tcPr>
            <w:tcW w:type="dxa" w:w="5083"/>
            <w:vAlign w:val="top"/>
          </w:tcPr>
          <w:p>
            <w:pPr>
              <w:spacing w:after="0" w:before="0" w:line="240" w:lineRule="auto"/>
            </w:pPr>
            <w:r>
              <w:rPr>
                <w:sz w:val="16"/>
              </w:rPr>
              <w:t>NoOp</w:t>
            </w:r>
          </w:p>
        </w:tc>
        <w:tc>
          <w:tcPr>
            <w:tcW w:type="dxa" w:w="5083"/>
            <w:vAlign w:val="top"/>
          </w:tcPr>
          <w:p>
            <w:pPr>
              <w:spacing w:after="0" w:before="0" w:line="240" w:lineRule="auto"/>
            </w:pPr>
            <w:r>
              <w:rPr>
                <w:sz w:val="16"/>
              </w:rPr>
              <w:t>Normalized desired equals observed and resource ready</w:t>
            </w:r>
          </w:p>
        </w:tc>
      </w:tr>
      <w:tr>
        <w:tc>
          <w:tcPr>
            <w:tcW w:type="dxa" w:w="5083"/>
            <w:vAlign w:val="top"/>
          </w:tcPr>
          <w:p>
            <w:pPr>
              <w:spacing w:after="0" w:before="0" w:line="240" w:lineRule="auto"/>
            </w:pPr>
            <w:r>
              <w:rPr>
                <w:sz w:val="16"/>
              </w:rPr>
              <w:t>Update</w:t>
            </w:r>
          </w:p>
        </w:tc>
        <w:tc>
          <w:tcPr>
            <w:tcW w:type="dxa" w:w="5083"/>
            <w:vAlign w:val="top"/>
          </w:tcPr>
          <w:p>
            <w:pPr>
              <w:spacing w:after="0" w:before="0" w:line="240" w:lineRule="auto"/>
            </w:pPr>
            <w:r>
              <w:rPr>
                <w:sz w:val="16"/>
              </w:rPr>
              <w:t>Mutable fields differ</w:t>
            </w:r>
          </w:p>
        </w:tc>
      </w:tr>
      <w:tr>
        <w:tc>
          <w:tcPr>
            <w:tcW w:type="dxa" w:w="5083"/>
            <w:vAlign w:val="top"/>
          </w:tcPr>
          <w:p>
            <w:pPr>
              <w:spacing w:after="0" w:before="0" w:line="240" w:lineRule="auto"/>
            </w:pPr>
            <w:r>
              <w:rPr>
                <w:sz w:val="16"/>
              </w:rPr>
              <w:t>Replace</w:t>
            </w:r>
          </w:p>
        </w:tc>
        <w:tc>
          <w:tcPr>
            <w:tcW w:type="dxa" w:w="5083"/>
            <w:vAlign w:val="top"/>
          </w:tcPr>
          <w:p>
            <w:pPr>
              <w:spacing w:after="0" w:before="0" w:line="240" w:lineRule="auto"/>
            </w:pPr>
            <w:r>
              <w:rPr>
                <w:sz w:val="16"/>
              </w:rPr>
              <w:t>Immutable field differs and safe replacement strategy exists</w:t>
            </w:r>
          </w:p>
        </w:tc>
      </w:tr>
      <w:tr>
        <w:tc>
          <w:tcPr>
            <w:tcW w:type="dxa" w:w="5083"/>
            <w:vAlign w:val="top"/>
          </w:tcPr>
          <w:p>
            <w:pPr>
              <w:spacing w:after="0" w:before="0" w:line="240" w:lineRule="auto"/>
            </w:pPr>
            <w:r>
              <w:rPr>
                <w:sz w:val="16"/>
              </w:rPr>
              <w:t>Delete</w:t>
            </w:r>
          </w:p>
        </w:tc>
        <w:tc>
          <w:tcPr>
            <w:tcW w:type="dxa" w:w="5083"/>
            <w:vAlign w:val="top"/>
          </w:tcPr>
          <w:p>
            <w:pPr>
              <w:spacing w:after="0" w:before="0" w:line="240" w:lineRule="auto"/>
            </w:pPr>
            <w:r>
              <w:rPr>
                <w:sz w:val="16"/>
              </w:rPr>
              <w:t>Owned observed resource absent from desired</w:t>
            </w:r>
          </w:p>
        </w:tc>
      </w:tr>
      <w:tr>
        <w:tc>
          <w:tcPr>
            <w:tcW w:type="dxa" w:w="5083"/>
            <w:vAlign w:val="top"/>
          </w:tcPr>
          <w:p>
            <w:pPr>
              <w:spacing w:after="0" w:before="0" w:line="240" w:lineRule="auto"/>
            </w:pPr>
            <w:r>
              <w:rPr>
                <w:sz w:val="16"/>
              </w:rPr>
              <w:t>Wait</w:t>
            </w:r>
          </w:p>
        </w:tc>
        <w:tc>
          <w:tcPr>
            <w:tcW w:type="dxa" w:w="5083"/>
            <w:vAlign w:val="top"/>
          </w:tcPr>
          <w:p>
            <w:pPr>
              <w:spacing w:after="0" w:before="0" w:line="240" w:lineRule="auto"/>
            </w:pPr>
            <w:r>
              <w:rPr>
                <w:sz w:val="16"/>
              </w:rPr>
              <w:t>Desired exists but dependency/provider resource is provisioning</w:t>
            </w:r>
          </w:p>
        </w:tc>
      </w:tr>
      <w:tr>
        <w:tc>
          <w:tcPr>
            <w:tcW w:type="dxa" w:w="5083"/>
            <w:vAlign w:val="top"/>
          </w:tcPr>
          <w:p>
            <w:pPr>
              <w:spacing w:after="0" w:before="0" w:line="240" w:lineRule="auto"/>
            </w:pPr>
            <w:r>
              <w:rPr>
                <w:sz w:val="16"/>
              </w:rPr>
              <w:t>Reject</w:t>
            </w:r>
          </w:p>
        </w:tc>
        <w:tc>
          <w:tcPr>
            <w:tcW w:type="dxa" w:w="5083"/>
            <w:vAlign w:val="top"/>
          </w:tcPr>
          <w:p>
            <w:pPr>
              <w:spacing w:after="0" w:before="0" w:line="240" w:lineRule="auto"/>
            </w:pPr>
            <w:r>
              <w:rPr>
                <w:sz w:val="16"/>
              </w:rPr>
              <w:t>Observed name matches but ownership does not</w:t>
            </w:r>
          </w:p>
        </w:tc>
      </w:tr>
    </w:tbl>
    <w:p>
      <w:r>
        <w:br w:type="page"/>
      </w:r>
    </w:p>
    <w:p>
      <w:pPr>
        <w:pStyle w:val="Heading1"/>
      </w:pPr>
      <w:r>
        <w:t>10. Dependency Graph and Ordering</w:t>
      </w:r>
    </w:p>
    <w:p>
      <w:pPr>
        <w:jc w:val="center"/>
      </w:pPr>
      <w:r>
        <w:drawing>
          <wp:inline xmlns:a="http://schemas.openxmlformats.org/drawingml/2006/main" xmlns:pic="http://schemas.openxmlformats.org/drawingml/2006/picture">
            <wp:extent cx="6309360" cy="3532727"/>
            <wp:docPr id="6" name="Picture 6"/>
            <wp:cNvGraphicFramePr>
              <a:graphicFrameLocks noChangeAspect="1"/>
            </wp:cNvGraphicFramePr>
            <a:graphic>
              <a:graphicData uri="http://schemas.openxmlformats.org/drawingml/2006/picture">
                <pic:pic>
                  <pic:nvPicPr>
                    <pic:cNvPr id="0" name="deployment_architecture.png"/>
                    <pic:cNvPicPr/>
                  </pic:nvPicPr>
                  <pic:blipFill>
                    <a:blip r:embed="rId13"/>
                    <a:stretch>
                      <a:fillRect/>
                    </a:stretch>
                  </pic:blipFill>
                  <pic:spPr>
                    <a:xfrm>
                      <a:off x="0" y="0"/>
                      <a:ext cx="6309360" cy="3532727"/>
                    </a:xfrm>
                    <a:prstGeom prst="rect"/>
                  </pic:spPr>
                </pic:pic>
              </a:graphicData>
            </a:graphic>
          </wp:inline>
        </w:drawing>
      </w:r>
    </w:p>
    <w:p>
      <w:pPr>
        <w:jc w:val="center"/>
      </w:pPr>
      <w:r>
        <w:rPr>
          <w:i/>
          <w:sz w:val="16"/>
        </w:rPr>
        <w:t>Figure 2-6. Deployment architecture and resource managers</w:t>
      </w:r>
    </w:p>
    <w:p>
      <w:pPr>
        <w:pStyle w:val="Heading2"/>
      </w:pPr>
      <w:r>
        <w:t>10.1 Required creation dependencies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Resource</w:t>
            </w:r>
          </w:p>
        </w:tc>
        <w:tc>
          <w:tcPr>
            <w:tcW w:type="dxa" w:w="5083"/>
            <w:shd w:fill="D9EAF7"/>
            <w:vAlign w:val="center"/>
          </w:tcPr>
          <w:p>
            <w:pPr>
              <w:spacing w:after="0" w:before="0" w:line="240" w:lineRule="auto"/>
            </w:pPr>
            <w:r>
              <w:rPr>
                <w:sz w:val="16"/>
              </w:rPr>
              <w:t>Required dependencies</w:t>
            </w:r>
          </w:p>
        </w:tc>
      </w:tr>
      <w:tr>
        <w:tc>
          <w:tcPr>
            <w:tcW w:type="dxa" w:w="5083"/>
            <w:vAlign w:val="top"/>
          </w:tcPr>
          <w:p>
            <w:pPr>
              <w:spacing w:after="0" w:before="0" w:line="240" w:lineRule="auto"/>
            </w:pPr>
            <w:r>
              <w:rPr>
                <w:sz w:val="16"/>
              </w:rPr>
              <w:t>LB Service</w:t>
            </w:r>
          </w:p>
        </w:tc>
        <w:tc>
          <w:tcPr>
            <w:tcW w:type="dxa" w:w="5083"/>
            <w:vAlign w:val="top"/>
          </w:tcPr>
          <w:p>
            <w:pPr>
              <w:spacing w:after="0" w:before="0" w:line="240" w:lineRule="auto"/>
            </w:pPr>
            <w:r>
              <w:rPr>
                <w:sz w:val="16"/>
              </w:rPr>
              <w:t>none</w:t>
            </w:r>
          </w:p>
        </w:tc>
      </w:tr>
      <w:tr>
        <w:tc>
          <w:tcPr>
            <w:tcW w:type="dxa" w:w="5083"/>
            <w:vAlign w:val="top"/>
          </w:tcPr>
          <w:p>
            <w:pPr>
              <w:spacing w:after="0" w:before="0" w:line="240" w:lineRule="auto"/>
            </w:pPr>
            <w:r>
              <w:rPr>
                <w:sz w:val="16"/>
              </w:rPr>
              <w:t>VIP</w:t>
            </w:r>
          </w:p>
        </w:tc>
        <w:tc>
          <w:tcPr>
            <w:tcW w:type="dxa" w:w="5083"/>
            <w:vAlign w:val="top"/>
          </w:tcPr>
          <w:p>
            <w:pPr>
              <w:spacing w:after="0" w:before="0" w:line="240" w:lineRule="auto"/>
            </w:pPr>
            <w:r>
              <w:rPr>
                <w:sz w:val="16"/>
              </w:rPr>
              <w:t>LB Service ready enough for VIP operation</w:t>
            </w:r>
          </w:p>
        </w:tc>
      </w:tr>
      <w:tr>
        <w:tc>
          <w:tcPr>
            <w:tcW w:type="dxa" w:w="5083"/>
            <w:vAlign w:val="top"/>
          </w:tcPr>
          <w:p>
            <w:pPr>
              <w:spacing w:after="0" w:before="0" w:line="240" w:lineRule="auto"/>
            </w:pPr>
            <w:r>
              <w:rPr>
                <w:sz w:val="16"/>
              </w:rPr>
              <w:t>Virtual Server</w:t>
            </w:r>
          </w:p>
        </w:tc>
        <w:tc>
          <w:tcPr>
            <w:tcW w:type="dxa" w:w="5083"/>
            <w:vAlign w:val="top"/>
          </w:tcPr>
          <w:p>
            <w:pPr>
              <w:spacing w:after="0" w:before="0" w:line="240" w:lineRule="auto"/>
            </w:pPr>
            <w:r>
              <w:rPr>
                <w:sz w:val="16"/>
              </w:rPr>
              <w:t>LB Service and VIP allocated/ready</w:t>
            </w:r>
          </w:p>
        </w:tc>
      </w:tr>
      <w:tr>
        <w:tc>
          <w:tcPr>
            <w:tcW w:type="dxa" w:w="5083"/>
            <w:vAlign w:val="top"/>
          </w:tcPr>
          <w:p>
            <w:pPr>
              <w:spacing w:after="0" w:before="0" w:line="240" w:lineRule="auto"/>
            </w:pPr>
            <w:r>
              <w:rPr>
                <w:sz w:val="16"/>
              </w:rPr>
              <w:t>Pool</w:t>
            </w:r>
          </w:p>
        </w:tc>
        <w:tc>
          <w:tcPr>
            <w:tcW w:type="dxa" w:w="5083"/>
            <w:vAlign w:val="top"/>
          </w:tcPr>
          <w:p>
            <w:pPr>
              <w:spacing w:after="0" w:before="0" w:line="240" w:lineRule="auto"/>
            </w:pPr>
            <w:r>
              <w:rPr>
                <w:sz w:val="16"/>
              </w:rPr>
              <w:t>Virtual Server exists</w:t>
            </w:r>
          </w:p>
        </w:tc>
      </w:tr>
      <w:tr>
        <w:tc>
          <w:tcPr>
            <w:tcW w:type="dxa" w:w="5083"/>
            <w:vAlign w:val="top"/>
          </w:tcPr>
          <w:p>
            <w:pPr>
              <w:spacing w:after="0" w:before="0" w:line="240" w:lineRule="auto"/>
            </w:pPr>
            <w:r>
              <w:rPr>
                <w:sz w:val="16"/>
              </w:rPr>
              <w:t>Health Monitor</w:t>
            </w:r>
          </w:p>
        </w:tc>
        <w:tc>
          <w:tcPr>
            <w:tcW w:type="dxa" w:w="5083"/>
            <w:vAlign w:val="top"/>
          </w:tcPr>
          <w:p>
            <w:pPr>
              <w:spacing w:after="0" w:before="0" w:line="240" w:lineRule="auto"/>
            </w:pPr>
            <w:r>
              <w:rPr>
                <w:sz w:val="16"/>
              </w:rPr>
              <w:t>Pool exists</w:t>
            </w:r>
          </w:p>
        </w:tc>
      </w:tr>
      <w:tr>
        <w:tc>
          <w:tcPr>
            <w:tcW w:type="dxa" w:w="5083"/>
            <w:vAlign w:val="top"/>
          </w:tcPr>
          <w:p>
            <w:pPr>
              <w:spacing w:after="0" w:before="0" w:line="240" w:lineRule="auto"/>
            </w:pPr>
            <w:r>
              <w:rPr>
                <w:sz w:val="16"/>
              </w:rPr>
              <w:t>Backend Member</w:t>
            </w:r>
          </w:p>
        </w:tc>
        <w:tc>
          <w:tcPr>
            <w:tcW w:type="dxa" w:w="5083"/>
            <w:vAlign w:val="top"/>
          </w:tcPr>
          <w:p>
            <w:pPr>
              <w:spacing w:after="0" w:before="0" w:line="240" w:lineRule="auto"/>
            </w:pPr>
            <w:r>
              <w:rPr>
                <w:sz w:val="16"/>
              </w:rPr>
              <w:t>Pool exists; node/VM/network identities resolved</w:t>
            </w:r>
          </w:p>
        </w:tc>
      </w:tr>
      <w:tr>
        <w:tc>
          <w:tcPr>
            <w:tcW w:type="dxa" w:w="5083"/>
            <w:vAlign w:val="top"/>
          </w:tcPr>
          <w:p>
            <w:pPr>
              <w:spacing w:after="0" w:before="0" w:line="240" w:lineRule="auto"/>
            </w:pPr>
            <w:r>
              <w:rPr>
                <w:sz w:val="16"/>
              </w:rPr>
              <w:t>Routing Rule</w:t>
            </w:r>
          </w:p>
        </w:tc>
        <w:tc>
          <w:tcPr>
            <w:tcW w:type="dxa" w:w="5083"/>
            <w:vAlign w:val="top"/>
          </w:tcPr>
          <w:p>
            <w:pPr>
              <w:spacing w:after="0" w:before="0" w:line="240" w:lineRule="auto"/>
            </w:pPr>
            <w:r>
              <w:rPr>
                <w:sz w:val="16"/>
              </w:rPr>
              <w:t>Virtual Server and referenced pool exist</w:t>
            </w:r>
          </w:p>
        </w:tc>
      </w:tr>
      <w:tr>
        <w:tc>
          <w:tcPr>
            <w:tcW w:type="dxa" w:w="5083"/>
            <w:vAlign w:val="top"/>
          </w:tcPr>
          <w:p>
            <w:pPr>
              <w:spacing w:after="0" w:before="0" w:line="240" w:lineRule="auto"/>
            </w:pPr>
            <w:r>
              <w:rPr>
                <w:sz w:val="16"/>
              </w:rPr>
              <w:t>Certificate attachment</w:t>
            </w:r>
          </w:p>
        </w:tc>
        <w:tc>
          <w:tcPr>
            <w:tcW w:type="dxa" w:w="5083"/>
            <w:vAlign w:val="top"/>
          </w:tcPr>
          <w:p>
            <w:pPr>
              <w:spacing w:after="0" w:before="0" w:line="240" w:lineRule="auto"/>
            </w:pPr>
            <w:r>
              <w:rPr>
                <w:sz w:val="16"/>
              </w:rPr>
              <w:t>LB Service/Virtual Server exists; certificate resource available</w:t>
            </w:r>
          </w:p>
        </w:tc>
      </w:tr>
    </w:tbl>
    <w:p>
      <w:pPr>
        <w:pStyle w:val="Heading2"/>
      </w:pPr>
      <w:r>
        <w:t>10.2 Deletion rules</w:t>
      </w:r>
    </w:p>
    <w:p>
      <w:pPr>
        <w:pStyle w:val="CodeBlock"/>
      </w:pPr>
      <w:r>
        <w:t>Routing rules / certificate attachments</w:t>
        <w:br/>
        <w:t xml:space="preserve">    -&gt; members and monitors</w:t>
        <w:br/>
        <w:t xml:space="preserve">    -&gt; pools</w:t>
        <w:br/>
        <w:t xml:space="preserve">    -&gt; virtual servers</w:t>
        <w:br/>
        <w:t xml:space="preserve">    -&gt; VIP</w:t>
        <w:br/>
        <w:t xml:space="preserve">    -&gt; LB service</w:t>
      </w:r>
    </w:p>
    <w:p>
      <w:pPr>
        <w:spacing w:after="80"/>
      </w:pPr>
      <w:r>
        <w:t>The exact ordering is derived from CMP endpoint relationships. A manager may skip a delete that CMP performs transitively, but the controller must verify absence before finalizer removal. Shared roots are protected by reference/ownership checks.</w:t>
      </w:r>
    </w:p>
    <w:p>
      <w:r>
        <w:br w:type="page"/>
      </w:r>
    </w:p>
    <w:p>
      <w:pPr>
        <w:pStyle w:val="Heading1"/>
      </w:pPr>
      <w:r>
        <w:t>11. Deployment Manager Contracts</w:t>
      </w:r>
    </w:p>
    <w:p>
      <w:pPr>
        <w:pStyle w:val="Heading2"/>
      </w:pPr>
      <w:r>
        <w:t>11.1 StackDeployer</w:t>
      </w:r>
    </w:p>
    <w:p>
      <w:pPr>
        <w:pStyle w:val="CodeBlock"/>
      </w:pPr>
      <w:r>
        <w:t>type StackDeployer interface {</w:t>
        <w:br/>
        <w:t xml:space="preserve">    Deploy(ctx context.Context, desired model.Stack) (DeploymentResult, error)</w:t>
        <w:br/>
        <w:t>}</w:t>
        <w:br/>
        <w:br/>
        <w:t>type DeploymentResult struct {</w:t>
        <w:br/>
        <w:t xml:space="preserve">    VIPs       []ObservedVIP</w:t>
        <w:br/>
        <w:t xml:space="preserve">    Resources  map[string]ObservedResource</w:t>
        <w:br/>
        <w:t xml:space="preserve">    Ready      bool</w:t>
        <w:br/>
        <w:t xml:space="preserve">    RequeueAfter time.Duration</w:t>
        <w:br/>
        <w:t>}</w:t>
      </w:r>
    </w:p>
    <w:p>
      <w:pPr>
        <w:spacing w:after="80"/>
      </w:pPr>
      <w:r>
        <w:t>The deployer is an orchestrator. It obtains an owned inventory, asks each manager to reconcile its resource type in dependency order, maintains a logical-to-external ID binding map, and returns readiness/status observations. It does not understand Service or Ingress fields.</w:t>
      </w:r>
    </w:p>
    <w:p>
      <w:pPr>
        <w:pStyle w:val="Heading2"/>
      </w:pPr>
      <w:r>
        <w:t>11.2 Generic manager contract</w:t>
      </w:r>
    </w:p>
    <w:p>
      <w:pPr>
        <w:pStyle w:val="CodeBlock"/>
      </w:pPr>
      <w:r>
        <w:t>type ResourceManager[TDesired any, TObserved any] interface {</w:t>
        <w:br/>
        <w:t xml:space="preserve">    Discover(ctx context.Context, scope Scope, owner Ownership) ([]TObserved, error)</w:t>
        <w:br/>
        <w:t xml:space="preserve">    Reconcile(ctx context.Context, desired []TDesired, observed []TObserved, bindings Bindings) (ManagerResult, error)</w:t>
        <w:br/>
        <w: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Manager</w:t>
            </w:r>
          </w:p>
        </w:tc>
        <w:tc>
          <w:tcPr>
            <w:tcW w:type="dxa" w:w="5083"/>
            <w:shd w:fill="D9EAF7"/>
            <w:vAlign w:val="center"/>
          </w:tcPr>
          <w:p>
            <w:pPr>
              <w:spacing w:after="0" w:before="0" w:line="240" w:lineRule="auto"/>
            </w:pPr>
            <w:r>
              <w:rPr>
                <w:sz w:val="16"/>
              </w:rPr>
              <w:t>CMP API family</w:t>
            </w:r>
          </w:p>
        </w:tc>
      </w:tr>
      <w:tr>
        <w:tc>
          <w:tcPr>
            <w:tcW w:type="dxa" w:w="5083"/>
            <w:vAlign w:val="top"/>
          </w:tcPr>
          <w:p>
            <w:pPr>
              <w:spacing w:after="0" w:before="0" w:line="240" w:lineRule="auto"/>
            </w:pPr>
            <w:r>
              <w:rPr>
                <w:sz w:val="16"/>
              </w:rPr>
              <w:t>LBServiceManager</w:t>
            </w:r>
          </w:p>
        </w:tc>
        <w:tc>
          <w:tcPr>
            <w:tcW w:type="dxa" w:w="5083"/>
            <w:vAlign w:val="top"/>
          </w:tcPr>
          <w:p>
            <w:pPr>
              <w:spacing w:after="0" w:before="0" w:line="240" w:lineRule="auto"/>
            </w:pPr>
            <w:r>
              <w:rPr>
                <w:sz w:val="16"/>
              </w:rPr>
              <w:t>.../load-balancers/lb_service</w:t>
            </w:r>
          </w:p>
        </w:tc>
      </w:tr>
      <w:tr>
        <w:tc>
          <w:tcPr>
            <w:tcW w:type="dxa" w:w="5083"/>
            <w:vAlign w:val="top"/>
          </w:tcPr>
          <w:p>
            <w:pPr>
              <w:spacing w:after="0" w:before="0" w:line="240" w:lineRule="auto"/>
            </w:pPr>
            <w:r>
              <w:rPr>
                <w:sz w:val="16"/>
              </w:rPr>
              <w:t>VIPManager</w:t>
            </w:r>
          </w:p>
        </w:tc>
        <w:tc>
          <w:tcPr>
            <w:tcW w:type="dxa" w:w="5083"/>
            <w:vAlign w:val="top"/>
          </w:tcPr>
          <w:p>
            <w:pPr>
              <w:spacing w:after="0" w:before="0" w:line="240" w:lineRule="auto"/>
            </w:pPr>
            <w:r>
              <w:rPr>
                <w:sz w:val="16"/>
              </w:rPr>
              <w:t>.../lb_service/{id}/vip</w:t>
            </w:r>
          </w:p>
        </w:tc>
      </w:tr>
      <w:tr>
        <w:tc>
          <w:tcPr>
            <w:tcW w:type="dxa" w:w="5083"/>
            <w:vAlign w:val="top"/>
          </w:tcPr>
          <w:p>
            <w:pPr>
              <w:spacing w:after="0" w:before="0" w:line="240" w:lineRule="auto"/>
            </w:pPr>
            <w:r>
              <w:rPr>
                <w:sz w:val="16"/>
              </w:rPr>
              <w:t>VirtualServerManager</w:t>
            </w:r>
          </w:p>
        </w:tc>
        <w:tc>
          <w:tcPr>
            <w:tcW w:type="dxa" w:w="5083"/>
            <w:vAlign w:val="top"/>
          </w:tcPr>
          <w:p>
            <w:pPr>
              <w:spacing w:after="0" w:before="0" w:line="240" w:lineRule="auto"/>
            </w:pPr>
            <w:r>
              <w:rPr>
                <w:sz w:val="16"/>
              </w:rPr>
              <w:t>.../{lb_service_id}/virtual-servers</w:t>
            </w:r>
          </w:p>
        </w:tc>
      </w:tr>
      <w:tr>
        <w:tc>
          <w:tcPr>
            <w:tcW w:type="dxa" w:w="5083"/>
            <w:vAlign w:val="top"/>
          </w:tcPr>
          <w:p>
            <w:pPr>
              <w:spacing w:after="0" w:before="0" w:line="240" w:lineRule="auto"/>
            </w:pPr>
            <w:r>
              <w:rPr>
                <w:sz w:val="16"/>
              </w:rPr>
              <w:t>PoolManager</w:t>
            </w:r>
          </w:p>
        </w:tc>
        <w:tc>
          <w:tcPr>
            <w:tcW w:type="dxa" w:w="5083"/>
            <w:vAlign w:val="top"/>
          </w:tcPr>
          <w:p>
            <w:pPr>
              <w:spacing w:after="0" w:before="0" w:line="240" w:lineRule="auto"/>
            </w:pPr>
            <w:r>
              <w:rPr>
                <w:sz w:val="16"/>
              </w:rPr>
              <w:t>.../virtual-servers/{vs_id}/pools</w:t>
            </w:r>
          </w:p>
        </w:tc>
      </w:tr>
      <w:tr>
        <w:tc>
          <w:tcPr>
            <w:tcW w:type="dxa" w:w="5083"/>
            <w:vAlign w:val="top"/>
          </w:tcPr>
          <w:p>
            <w:pPr>
              <w:spacing w:after="0" w:before="0" w:line="240" w:lineRule="auto"/>
            </w:pPr>
            <w:r>
              <w:rPr>
                <w:sz w:val="16"/>
              </w:rPr>
              <w:t>MemberManager</w:t>
            </w:r>
          </w:p>
        </w:tc>
        <w:tc>
          <w:tcPr>
            <w:tcW w:type="dxa" w:w="5083"/>
            <w:vAlign w:val="top"/>
          </w:tcPr>
          <w:p>
            <w:pPr>
              <w:spacing w:after="0" w:before="0" w:line="240" w:lineRule="auto"/>
            </w:pPr>
            <w:r>
              <w:rPr>
                <w:sz w:val="16"/>
              </w:rPr>
              <w:t>.../pools/{pool_id}/members</w:t>
            </w:r>
          </w:p>
        </w:tc>
      </w:tr>
      <w:tr>
        <w:tc>
          <w:tcPr>
            <w:tcW w:type="dxa" w:w="5083"/>
            <w:vAlign w:val="top"/>
          </w:tcPr>
          <w:p>
            <w:pPr>
              <w:spacing w:after="0" w:before="0" w:line="240" w:lineRule="auto"/>
            </w:pPr>
            <w:r>
              <w:rPr>
                <w:sz w:val="16"/>
              </w:rPr>
              <w:t>MonitorManager</w:t>
            </w:r>
          </w:p>
        </w:tc>
        <w:tc>
          <w:tcPr>
            <w:tcW w:type="dxa" w:w="5083"/>
            <w:vAlign w:val="top"/>
          </w:tcPr>
          <w:p>
            <w:pPr>
              <w:spacing w:after="0" w:before="0" w:line="240" w:lineRule="auto"/>
            </w:pPr>
            <w:r>
              <w:rPr>
                <w:sz w:val="16"/>
              </w:rPr>
              <w:t>.../pools/{pool_id}/monitors</w:t>
            </w:r>
          </w:p>
        </w:tc>
      </w:tr>
      <w:tr>
        <w:tc>
          <w:tcPr>
            <w:tcW w:type="dxa" w:w="5083"/>
            <w:vAlign w:val="top"/>
          </w:tcPr>
          <w:p>
            <w:pPr>
              <w:spacing w:after="0" w:before="0" w:line="240" w:lineRule="auto"/>
            </w:pPr>
            <w:r>
              <w:rPr>
                <w:sz w:val="16"/>
              </w:rPr>
              <w:t>RoutingRuleManager</w:t>
            </w:r>
          </w:p>
        </w:tc>
        <w:tc>
          <w:tcPr>
            <w:tcW w:type="dxa" w:w="5083"/>
            <w:vAlign w:val="top"/>
          </w:tcPr>
          <w:p>
            <w:pPr>
              <w:spacing w:after="0" w:before="0" w:line="240" w:lineRule="auto"/>
            </w:pPr>
            <w:r>
              <w:rPr>
                <w:sz w:val="16"/>
              </w:rPr>
              <w:t>.../virtual-servers/{vs_id}/routing-rules</w:t>
            </w:r>
          </w:p>
        </w:tc>
      </w:tr>
      <w:tr>
        <w:tc>
          <w:tcPr>
            <w:tcW w:type="dxa" w:w="5083"/>
            <w:vAlign w:val="top"/>
          </w:tcPr>
          <w:p>
            <w:pPr>
              <w:spacing w:after="0" w:before="0" w:line="240" w:lineRule="auto"/>
            </w:pPr>
            <w:r>
              <w:rPr>
                <w:sz w:val="16"/>
              </w:rPr>
              <w:t>CertificateManager</w:t>
            </w:r>
          </w:p>
        </w:tc>
        <w:tc>
          <w:tcPr>
            <w:tcW w:type="dxa" w:w="5083"/>
            <w:vAlign w:val="top"/>
          </w:tcPr>
          <w:p>
            <w:pPr>
              <w:spacing w:after="0" w:before="0" w:line="240" w:lineRule="auto"/>
            </w:pPr>
            <w:r>
              <w:rPr>
                <w:sz w:val="16"/>
              </w:rPr>
              <w:t>certificate APIs and LB/VS attachment APIs</w:t>
            </w:r>
          </w:p>
        </w:tc>
      </w:tr>
    </w:tbl>
    <w:p>
      <w:r>
        <w:br w:type="page"/>
      </w:r>
    </w:p>
    <w:p>
      <w:pPr>
        <w:pStyle w:val="Heading1"/>
      </w:pPr>
      <w:r>
        <w:t>12. Backend Resolution Architecture</w:t>
      </w:r>
    </w:p>
    <w:p>
      <w:pPr>
        <w:jc w:val="center"/>
      </w:pPr>
      <w:r>
        <w:drawing>
          <wp:inline xmlns:a="http://schemas.openxmlformats.org/drawingml/2006/main" xmlns:pic="http://schemas.openxmlformats.org/drawingml/2006/picture">
            <wp:extent cx="6309360" cy="3532727"/>
            <wp:docPr id="7" name="Picture 7"/>
            <wp:cNvGraphicFramePr>
              <a:graphicFrameLocks noChangeAspect="1"/>
            </wp:cNvGraphicFramePr>
            <a:graphic>
              <a:graphicData uri="http://schemas.openxmlformats.org/drawingml/2006/picture">
                <pic:pic>
                  <pic:nvPicPr>
                    <pic:cNvPr id="0" name="backend_resolution.png"/>
                    <pic:cNvPicPr/>
                  </pic:nvPicPr>
                  <pic:blipFill>
                    <a:blip r:embed="rId14"/>
                    <a:stretch>
                      <a:fillRect/>
                    </a:stretch>
                  </pic:blipFill>
                  <pic:spPr>
                    <a:xfrm>
                      <a:off x="0" y="0"/>
                      <a:ext cx="6309360" cy="3532727"/>
                    </a:xfrm>
                    <a:prstGeom prst="rect"/>
                  </pic:spPr>
                </pic:pic>
              </a:graphicData>
            </a:graphic>
          </wp:inline>
        </w:drawing>
      </w:r>
    </w:p>
    <w:p>
      <w:pPr>
        <w:jc w:val="center"/>
      </w:pPr>
      <w:r>
        <w:rPr>
          <w:i/>
          <w:sz w:val="16"/>
        </w:rPr>
        <w:t>Figure 2-7. Node to CMP backend identity resolution</w:t>
      </w:r>
    </w:p>
    <w:p>
      <w:pPr>
        <w:pStyle w:val="Heading2"/>
      </w:pPr>
      <w:r>
        <w:t>12.1 Resolution input and output</w:t>
      </w:r>
    </w:p>
    <w:p>
      <w:pPr>
        <w:pStyle w:val="CodeBlock"/>
      </w:pPr>
      <w:r>
        <w:t>type BackendCandidate struct {</w:t>
        <w:br/>
        <w:t xml:space="preserve">    NodeName    string</w:t>
        <w:br/>
        <w:t xml:space="preserve">    NodeUID     types.UID</w:t>
        <w:br/>
        <w:t xml:space="preserve">    InternalIP  net.IP</w:t>
        <w:br/>
        <w:t xml:space="preserve">    ProviderID  string</w:t>
        <w:br/>
        <w:t xml:space="preserve">    NodePort    int32</w:t>
        <w:br/>
        <w:t xml:space="preserve">    ReadyEndpoints int</w:t>
        <w:br/>
        <w:t>}</w:t>
        <w:br/>
        <w:br/>
        <w:t>type ResolvedBackend struct {</w:t>
        <w:br/>
        <w:t xml:space="preserve">    ResourceID   string</w:t>
        <w:br/>
        <w:t xml:space="preserve">    ResourceType string</w:t>
        <w:br/>
        <w:t xml:space="preserve">    ResourceIP   string</w:t>
        <w:br/>
        <w:t xml:space="preserve">    BackendPortID string</w:t>
        <w:br/>
        <w:t xml:space="preserve">    Port         int32</w:t>
        <w:br/>
        <w:t xml:space="preserve">    Weight       int32</w:t>
        <w:br/>
        <w:t>}</w:t>
      </w:r>
    </w:p>
    <w:p>
      <w:pPr>
        <w:pStyle w:val="Heading2"/>
      </w:pPr>
      <w:r>
        <w:t>12.2 Resolution algorithm</w:t>
      </w:r>
    </w:p>
    <w:p>
      <w:pPr>
        <w:pStyle w:val="CodeBlock"/>
      </w:pPr>
      <w:r>
        <w:t>1. Read ready EndpointSlice endpoints for the backend Service.</w:t>
        <w:br/>
        <w:t>2. Map endpoint.nodeName to Node and apply readiness/traffic-policy eligibility.</w:t>
        <w:br/>
        <w:t>3. Select Node InternalIP and parse providerID when present.</w:t>
        <w:br/>
        <w:t>4. Query CMP compute inventory to resolve authoritative VM/resource ID.</w:t>
        <w:br/>
        <w:t>5. Query CMP network port search-by-IP or network port inventory.</w:t>
        <w:br/>
        <w:t>6. Require exactly one eligible port in the configured Shoot network.</w:t>
        <w:br/>
        <w:t>7. Construct ResolvedBackend with provider-returned IDs and NodePort.</w:t>
        <w:br/>
        <w:t>8. Cache positive immutable mappings for a bounded period; invalidate on Node/network changes.</w:t>
      </w:r>
    </w:p>
    <w:p>
      <w:pPr>
        <w:pStyle w:val="Heading2"/>
      </w:pPr>
      <w:r>
        <w:t>12.3 Ambiguity and safety rules</w:t>
      </w:r>
    </w:p>
    <w:p>
      <w:pPr>
        <w:pStyle w:val="ListBullet"/>
        <w:spacing w:after="40"/>
      </w:pPr>
      <w:r>
        <w:t>Zero matching VM or port is a dependency-resolution error; no placeholder member is created.</w:t>
      </w:r>
    </w:p>
    <w:p>
      <w:pPr>
        <w:pStyle w:val="ListBullet"/>
        <w:spacing w:after="40"/>
      </w:pPr>
      <w:r>
        <w:t>Multiple matching ports are rejected unless network/project constraints reduce the result to one.</w:t>
      </w:r>
    </w:p>
    <w:p>
      <w:pPr>
        <w:pStyle w:val="ListBullet"/>
        <w:spacing w:after="40"/>
      </w:pPr>
      <w:r>
        <w:t>The resolved port must belong to the configured organization, project and network.</w:t>
      </w:r>
    </w:p>
    <w:p>
      <w:pPr>
        <w:pStyle w:val="ListBullet"/>
        <w:spacing w:after="40"/>
      </w:pPr>
      <w:r>
        <w:t>A member deletion removes pool membership only. It never invokes compute or port deletion APIs.</w:t>
      </w:r>
    </w:p>
    <w:p>
      <w:pPr>
        <w:pStyle w:val="ListBullet"/>
        <w:spacing w:after="40"/>
      </w:pPr>
      <w:r>
        <w:t>Backend weight calculation is a builder policy; API serialization is a client concern.</w:t>
      </w:r>
    </w:p>
    <w:p>
      <w:r>
        <w:br w:type="page"/>
      </w:r>
    </w:p>
    <w:p>
      <w:pPr>
        <w:pStyle w:val="Heading1"/>
      </w:pPr>
      <w:r>
        <w:t>13. Ownership, Discovery and Adoption</w:t>
      </w:r>
    </w:p>
    <w:p>
      <w:pPr>
        <w:jc w:val="center"/>
      </w:pPr>
      <w:r>
        <w:drawing>
          <wp:inline xmlns:a="http://schemas.openxmlformats.org/drawingml/2006/main" xmlns:pic="http://schemas.openxmlformats.org/drawingml/2006/picture">
            <wp:extent cx="6309360" cy="3532727"/>
            <wp:docPr id="8" name="Picture 8"/>
            <wp:cNvGraphicFramePr>
              <a:graphicFrameLocks noChangeAspect="1"/>
            </wp:cNvGraphicFramePr>
            <a:graphic>
              <a:graphicData uri="http://schemas.openxmlformats.org/drawingml/2006/picture">
                <pic:pic>
                  <pic:nvPicPr>
                    <pic:cNvPr id="0" name="ownership.png"/>
                    <pic:cNvPicPr/>
                  </pic:nvPicPr>
                  <pic:blipFill>
                    <a:blip r:embed="rId15"/>
                    <a:stretch>
                      <a:fillRect/>
                    </a:stretch>
                  </pic:blipFill>
                  <pic:spPr>
                    <a:xfrm>
                      <a:off x="0" y="0"/>
                      <a:ext cx="6309360" cy="3532727"/>
                    </a:xfrm>
                    <a:prstGeom prst="rect"/>
                  </pic:spPr>
                </pic:pic>
              </a:graphicData>
            </a:graphic>
          </wp:inline>
        </w:drawing>
      </w:r>
    </w:p>
    <w:p>
      <w:pPr>
        <w:jc w:val="center"/>
      </w:pPr>
      <w:r>
        <w:rPr>
          <w:i/>
          <w:sz w:val="16"/>
        </w:rPr>
        <w:t>Figure 2-8. Ownership creation and mutation guard</w:t>
      </w:r>
    </w:p>
    <w:p>
      <w:pPr>
        <w:pStyle w:val="Heading2"/>
      </w:pPr>
      <w:r>
        <w:t>13.1 Ownership schema</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Field</w:t>
            </w:r>
          </w:p>
        </w:tc>
        <w:tc>
          <w:tcPr>
            <w:tcW w:type="dxa" w:w="5083"/>
            <w:shd w:fill="D9EAF7"/>
            <w:vAlign w:val="center"/>
          </w:tcPr>
          <w:p>
            <w:pPr>
              <w:spacing w:after="0" w:before="0" w:line="240" w:lineRule="auto"/>
            </w:pPr>
            <w:r>
              <w:rPr>
                <w:sz w:val="16"/>
              </w:rPr>
              <w:t>Purpose</w:t>
            </w:r>
          </w:p>
        </w:tc>
      </w:tr>
      <w:tr>
        <w:tc>
          <w:tcPr>
            <w:tcW w:type="dxa" w:w="5083"/>
            <w:vAlign w:val="top"/>
          </w:tcPr>
          <w:p>
            <w:pPr>
              <w:spacing w:after="0" w:before="0" w:line="240" w:lineRule="auto"/>
            </w:pPr>
            <w:r>
              <w:rPr>
                <w:sz w:val="16"/>
              </w:rPr>
              <w:t>managed-by</w:t>
            </w:r>
          </w:p>
        </w:tc>
        <w:tc>
          <w:tcPr>
            <w:tcW w:type="dxa" w:w="5083"/>
            <w:vAlign w:val="top"/>
          </w:tcPr>
          <w:p>
            <w:pPr>
              <w:spacing w:after="0" w:before="0" w:line="240" w:lineRule="auto"/>
            </w:pPr>
            <w:r>
              <w:rPr>
                <w:sz w:val="16"/>
              </w:rPr>
              <w:t>Stable controller identity</w:t>
            </w:r>
          </w:p>
        </w:tc>
      </w:tr>
      <w:tr>
        <w:tc>
          <w:tcPr>
            <w:tcW w:type="dxa" w:w="5083"/>
            <w:vAlign w:val="top"/>
          </w:tcPr>
          <w:p>
            <w:pPr>
              <w:spacing w:after="0" w:before="0" w:line="240" w:lineRule="auto"/>
            </w:pPr>
            <w:r>
              <w:rPr>
                <w:sz w:val="16"/>
              </w:rPr>
              <w:t>cluster-uid</w:t>
            </w:r>
          </w:p>
        </w:tc>
        <w:tc>
          <w:tcPr>
            <w:tcW w:type="dxa" w:w="5083"/>
            <w:vAlign w:val="top"/>
          </w:tcPr>
          <w:p>
            <w:pPr>
              <w:spacing w:after="0" w:before="0" w:line="240" w:lineRule="auto"/>
            </w:pPr>
            <w:r>
              <w:rPr>
                <w:sz w:val="16"/>
              </w:rPr>
              <w:t>Shoot/cluster isolation</w:t>
            </w:r>
          </w:p>
        </w:tc>
      </w:tr>
      <w:tr>
        <w:tc>
          <w:tcPr>
            <w:tcW w:type="dxa" w:w="5083"/>
            <w:vAlign w:val="top"/>
          </w:tcPr>
          <w:p>
            <w:pPr>
              <w:spacing w:after="0" w:before="0" w:line="240" w:lineRule="auto"/>
            </w:pPr>
            <w:r>
              <w:rPr>
                <w:sz w:val="16"/>
              </w:rPr>
              <w:t>source-kind</w:t>
            </w:r>
          </w:p>
        </w:tc>
        <w:tc>
          <w:tcPr>
            <w:tcW w:type="dxa" w:w="5083"/>
            <w:vAlign w:val="top"/>
          </w:tcPr>
          <w:p>
            <w:pPr>
              <w:spacing w:after="0" w:before="0" w:line="240" w:lineRule="auto"/>
            </w:pPr>
            <w:r>
              <w:rPr>
                <w:sz w:val="16"/>
              </w:rPr>
              <w:t>Service, IngressGroup or future Gateway</w:t>
            </w:r>
          </w:p>
        </w:tc>
      </w:tr>
      <w:tr>
        <w:tc>
          <w:tcPr>
            <w:tcW w:type="dxa" w:w="5083"/>
            <w:vAlign w:val="top"/>
          </w:tcPr>
          <w:p>
            <w:pPr>
              <w:spacing w:after="0" w:before="0" w:line="240" w:lineRule="auto"/>
            </w:pPr>
            <w:r>
              <w:rPr>
                <w:sz w:val="16"/>
              </w:rPr>
              <w:t>source-namespace/name</w:t>
            </w:r>
          </w:p>
        </w:tc>
        <w:tc>
          <w:tcPr>
            <w:tcW w:type="dxa" w:w="5083"/>
            <w:vAlign w:val="top"/>
          </w:tcPr>
          <w:p>
            <w:pPr>
              <w:spacing w:after="0" w:before="0" w:line="240" w:lineRule="auto"/>
            </w:pPr>
            <w:r>
              <w:rPr>
                <w:sz w:val="16"/>
              </w:rPr>
              <w:t>Human diagnostics</w:t>
            </w:r>
          </w:p>
        </w:tc>
      </w:tr>
      <w:tr>
        <w:tc>
          <w:tcPr>
            <w:tcW w:type="dxa" w:w="5083"/>
            <w:vAlign w:val="top"/>
          </w:tcPr>
          <w:p>
            <w:pPr>
              <w:spacing w:after="0" w:before="0" w:line="240" w:lineRule="auto"/>
            </w:pPr>
            <w:r>
              <w:rPr>
                <w:sz w:val="16"/>
              </w:rPr>
              <w:t>source-uid</w:t>
            </w:r>
          </w:p>
        </w:tc>
        <w:tc>
          <w:tcPr>
            <w:tcW w:type="dxa" w:w="5083"/>
            <w:vAlign w:val="top"/>
          </w:tcPr>
          <w:p>
            <w:pPr>
              <w:spacing w:after="0" w:before="0" w:line="240" w:lineRule="auto"/>
            </w:pPr>
            <w:r>
              <w:rPr>
                <w:sz w:val="16"/>
              </w:rPr>
              <w:t>Prevents accidental adoption after name reuse</w:t>
            </w:r>
          </w:p>
        </w:tc>
      </w:tr>
      <w:tr>
        <w:tc>
          <w:tcPr>
            <w:tcW w:type="dxa" w:w="5083"/>
            <w:vAlign w:val="top"/>
          </w:tcPr>
          <w:p>
            <w:pPr>
              <w:spacing w:after="0" w:before="0" w:line="240" w:lineRule="auto"/>
            </w:pPr>
            <w:r>
              <w:rPr>
                <w:sz w:val="16"/>
              </w:rPr>
              <w:t>stack-key</w:t>
            </w:r>
          </w:p>
        </w:tc>
        <w:tc>
          <w:tcPr>
            <w:tcW w:type="dxa" w:w="5083"/>
            <w:vAlign w:val="top"/>
          </w:tcPr>
          <w:p>
            <w:pPr>
              <w:spacing w:after="0" w:before="0" w:line="240" w:lineRule="auto"/>
            </w:pPr>
            <w:r>
              <w:rPr>
                <w:sz w:val="16"/>
              </w:rPr>
              <w:t>Groups related provider objects</w:t>
            </w:r>
          </w:p>
        </w:tc>
      </w:tr>
      <w:tr>
        <w:tc>
          <w:tcPr>
            <w:tcW w:type="dxa" w:w="5083"/>
            <w:vAlign w:val="top"/>
          </w:tcPr>
          <w:p>
            <w:pPr>
              <w:spacing w:after="0" w:before="0" w:line="240" w:lineRule="auto"/>
            </w:pPr>
            <w:r>
              <w:rPr>
                <w:sz w:val="16"/>
              </w:rPr>
              <w:t>resource-role</w:t>
            </w:r>
          </w:p>
        </w:tc>
        <w:tc>
          <w:tcPr>
            <w:tcW w:type="dxa" w:w="5083"/>
            <w:vAlign w:val="top"/>
          </w:tcPr>
          <w:p>
            <w:pPr>
              <w:spacing w:after="0" w:before="0" w:line="240" w:lineRule="auto"/>
            </w:pPr>
            <w:r>
              <w:rPr>
                <w:sz w:val="16"/>
              </w:rPr>
              <w:t>lb-service, vip, virtual-server, pool, member, monitor, rule, certificate</w:t>
            </w:r>
          </w:p>
        </w:tc>
      </w:tr>
      <w:tr>
        <w:tc>
          <w:tcPr>
            <w:tcW w:type="dxa" w:w="5083"/>
            <w:vAlign w:val="top"/>
          </w:tcPr>
          <w:p>
            <w:pPr>
              <w:spacing w:after="0" w:before="0" w:line="240" w:lineRule="auto"/>
            </w:pPr>
            <w:r>
              <w:rPr>
                <w:sz w:val="16"/>
              </w:rPr>
              <w:t>shared-group</w:t>
            </w:r>
          </w:p>
        </w:tc>
        <w:tc>
          <w:tcPr>
            <w:tcW w:type="dxa" w:w="5083"/>
            <w:vAlign w:val="top"/>
          </w:tcPr>
          <w:p>
            <w:pPr>
              <w:spacing w:after="0" w:before="0" w:line="240" w:lineRule="auto"/>
            </w:pPr>
            <w:r>
              <w:rPr>
                <w:sz w:val="16"/>
              </w:rPr>
              <w:t>Explicit shared frontend identity when enabled</w:t>
            </w:r>
          </w:p>
        </w:tc>
      </w:tr>
      <w:tr>
        <w:tc>
          <w:tcPr>
            <w:tcW w:type="dxa" w:w="5083"/>
            <w:vAlign w:val="top"/>
          </w:tcPr>
          <w:p>
            <w:pPr>
              <w:spacing w:after="0" w:before="0" w:line="240" w:lineRule="auto"/>
            </w:pPr>
            <w:r>
              <w:rPr>
                <w:sz w:val="16"/>
              </w:rPr>
              <w:t>model-version</w:t>
            </w:r>
          </w:p>
        </w:tc>
        <w:tc>
          <w:tcPr>
            <w:tcW w:type="dxa" w:w="5083"/>
            <w:vAlign w:val="top"/>
          </w:tcPr>
          <w:p>
            <w:pPr>
              <w:spacing w:after="0" w:before="0" w:line="240" w:lineRule="auto"/>
            </w:pPr>
            <w:r>
              <w:rPr>
                <w:sz w:val="16"/>
              </w:rPr>
              <w:t>Allows controlled evolution of naming/model semantics</w:t>
            </w:r>
          </w:p>
        </w:tc>
      </w:tr>
    </w:tbl>
    <w:p>
      <w:pPr>
        <w:pStyle w:val="Heading2"/>
      </w:pPr>
      <w:r>
        <w:t>13.2 Discovery hierarchy</w:t>
      </w:r>
    </w:p>
    <w:p>
      <w:pPr>
        <w:pStyle w:val="CodeBlock"/>
      </w:pPr>
      <w:r>
        <w:t>1. Use known external ID when available, then verify ownership.</w:t>
        <w:br/>
        <w:t>2. List/filter by CMP labels where the API supports it.</w:t>
        <w:br/>
        <w:t>3. Fall back to deterministic name plus full ownership verification.</w:t>
        <w:br/>
        <w:t>4. Never mutate or delete a name match with absent/conflicting ownership.</w:t>
      </w:r>
    </w:p>
    <w:p>
      <w:pPr>
        <w:pStyle w:val="Heading2"/>
      </w:pPr>
      <w:r>
        <w:t>13.3 Adoption policy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Observed resource</w:t>
            </w:r>
          </w:p>
        </w:tc>
        <w:tc>
          <w:tcPr>
            <w:tcW w:type="dxa" w:w="5083"/>
            <w:shd w:fill="D9EAF7"/>
            <w:vAlign w:val="center"/>
          </w:tcPr>
          <w:p>
            <w:pPr>
              <w:spacing w:after="0" w:before="0" w:line="240" w:lineRule="auto"/>
            </w:pPr>
            <w:r>
              <w:rPr>
                <w:sz w:val="16"/>
              </w:rPr>
              <w:t>Action</w:t>
            </w:r>
          </w:p>
        </w:tc>
      </w:tr>
      <w:tr>
        <w:tc>
          <w:tcPr>
            <w:tcW w:type="dxa" w:w="5083"/>
            <w:vAlign w:val="top"/>
          </w:tcPr>
          <w:p>
            <w:pPr>
              <w:spacing w:after="0" w:before="0" w:line="240" w:lineRule="auto"/>
            </w:pPr>
            <w:r>
              <w:rPr>
                <w:sz w:val="16"/>
              </w:rPr>
              <w:t>Exact ownership match and compatible scope</w:t>
            </w:r>
          </w:p>
        </w:tc>
        <w:tc>
          <w:tcPr>
            <w:tcW w:type="dxa" w:w="5083"/>
            <w:vAlign w:val="top"/>
          </w:tcPr>
          <w:p>
            <w:pPr>
              <w:spacing w:after="0" w:before="0" w:line="240" w:lineRule="auto"/>
            </w:pPr>
            <w:r>
              <w:rPr>
                <w:sz w:val="16"/>
              </w:rPr>
              <w:t>Adopt/reconcile</w:t>
            </w:r>
          </w:p>
        </w:tc>
      </w:tr>
      <w:tr>
        <w:tc>
          <w:tcPr>
            <w:tcW w:type="dxa" w:w="5083"/>
            <w:vAlign w:val="top"/>
          </w:tcPr>
          <w:p>
            <w:pPr>
              <w:spacing w:after="0" w:before="0" w:line="240" w:lineRule="auto"/>
            </w:pPr>
            <w:r>
              <w:rPr>
                <w:sz w:val="16"/>
              </w:rPr>
              <w:t>Same source UID but older model version</w:t>
            </w:r>
          </w:p>
        </w:tc>
        <w:tc>
          <w:tcPr>
            <w:tcW w:type="dxa" w:w="5083"/>
            <w:vAlign w:val="top"/>
          </w:tcPr>
          <w:p>
            <w:pPr>
              <w:spacing w:after="0" w:before="0" w:line="240" w:lineRule="auto"/>
            </w:pPr>
            <w:r>
              <w:rPr>
                <w:sz w:val="16"/>
              </w:rPr>
              <w:t>Adopt through explicit migration rule</w:t>
            </w:r>
          </w:p>
        </w:tc>
      </w:tr>
      <w:tr>
        <w:tc>
          <w:tcPr>
            <w:tcW w:type="dxa" w:w="5083"/>
            <w:vAlign w:val="top"/>
          </w:tcPr>
          <w:p>
            <w:pPr>
              <w:spacing w:after="0" w:before="0" w:line="240" w:lineRule="auto"/>
            </w:pPr>
            <w:r>
              <w:rPr>
                <w:sz w:val="16"/>
              </w:rPr>
              <w:t>Same name, no ownership</w:t>
            </w:r>
          </w:p>
        </w:tc>
        <w:tc>
          <w:tcPr>
            <w:tcW w:type="dxa" w:w="5083"/>
            <w:vAlign w:val="top"/>
          </w:tcPr>
          <w:p>
            <w:pPr>
              <w:spacing w:after="0" w:before="0" w:line="240" w:lineRule="auto"/>
            </w:pPr>
            <w:r>
              <w:rPr>
                <w:sz w:val="16"/>
              </w:rPr>
              <w:t>Reject and surface conflict</w:t>
            </w:r>
          </w:p>
        </w:tc>
      </w:tr>
      <w:tr>
        <w:tc>
          <w:tcPr>
            <w:tcW w:type="dxa" w:w="5083"/>
            <w:vAlign w:val="top"/>
          </w:tcPr>
          <w:p>
            <w:pPr>
              <w:spacing w:after="0" w:before="0" w:line="240" w:lineRule="auto"/>
            </w:pPr>
            <w:r>
              <w:rPr>
                <w:sz w:val="16"/>
              </w:rPr>
              <w:t>Different source UID</w:t>
            </w:r>
          </w:p>
        </w:tc>
        <w:tc>
          <w:tcPr>
            <w:tcW w:type="dxa" w:w="5083"/>
            <w:vAlign w:val="top"/>
          </w:tcPr>
          <w:p>
            <w:pPr>
              <w:spacing w:after="0" w:before="0" w:line="240" w:lineRule="auto"/>
            </w:pPr>
            <w:r>
              <w:rPr>
                <w:sz w:val="16"/>
              </w:rPr>
              <w:t>Do not adopt; preserve resource</w:t>
            </w:r>
          </w:p>
        </w:tc>
      </w:tr>
      <w:tr>
        <w:tc>
          <w:tcPr>
            <w:tcW w:type="dxa" w:w="5083"/>
            <w:vAlign w:val="top"/>
          </w:tcPr>
          <w:p>
            <w:pPr>
              <w:spacing w:after="0" w:before="0" w:line="240" w:lineRule="auto"/>
            </w:pPr>
            <w:r>
              <w:rPr>
                <w:sz w:val="16"/>
              </w:rPr>
              <w:t>Owned but absent from desired</w:t>
            </w:r>
          </w:p>
        </w:tc>
        <w:tc>
          <w:tcPr>
            <w:tcW w:type="dxa" w:w="5083"/>
            <w:vAlign w:val="top"/>
          </w:tcPr>
          <w:p>
            <w:pPr>
              <w:spacing w:after="0" w:before="0" w:line="240" w:lineRule="auto"/>
            </w:pPr>
            <w:r>
              <w:rPr>
                <w:sz w:val="16"/>
              </w:rPr>
              <w:t>Delete in dependency-safe cleanup</w:t>
            </w:r>
          </w:p>
        </w:tc>
      </w:tr>
    </w:tbl>
    <w:p>
      <w:r>
        <w:br w:type="page"/>
      </w:r>
    </w:p>
    <w:p>
      <w:pPr>
        <w:pStyle w:val="Heading1"/>
      </w:pPr>
      <w:r>
        <w:t>14. Finalizer Architecture</w:t>
      </w:r>
    </w:p>
    <w:p>
      <w:pPr>
        <w:pStyle w:val="Heading2"/>
      </w:pPr>
      <w:r>
        <w:t>14.1 Service finalizer</w:t>
      </w:r>
    </w:p>
    <w:p>
      <w:pPr>
        <w:spacing w:after="80"/>
      </w:pPr>
      <w:r>
        <w:t>The Service finalizer is added before any provider create. On deletion or claim loss, the controller deploys an empty stack for that ownership scope, verifies required external resources are absent, removes generated Kubernetes objects, then removes the finalizer.</w:t>
      </w:r>
    </w:p>
    <w:p>
      <w:pPr>
        <w:pStyle w:val="Heading2"/>
      </w:pPr>
      <w:r>
        <w:t>14.2 Ingress group finalizers</w:t>
      </w:r>
    </w:p>
    <w:p>
      <w:pPr>
        <w:spacing w:after="80"/>
      </w:pPr>
      <w:r>
        <w:t>Ingress cleanup is group-aware. Active members retain the group frontend. Inactive members may have their finalizer removed only after resources owned exclusively by those members are absent and shared group resources remain correctly referenced by active members.</w:t>
      </w:r>
    </w:p>
    <w:p>
      <w:pPr>
        <w:pStyle w:val="Heading2"/>
      </w:pPr>
      <w:r>
        <w:t>14.3 Finalizer invariants</w:t>
      </w:r>
    </w:p>
    <w:p>
      <w:pPr>
        <w:pStyle w:val="ListBullet"/>
        <w:spacing w:after="40"/>
      </w:pPr>
      <w:r>
        <w:t>A provider API timeout never causes finalizer removal.</w:t>
      </w:r>
    </w:p>
    <w:p>
      <w:pPr>
        <w:pStyle w:val="ListBullet"/>
        <w:spacing w:after="40"/>
      </w:pPr>
      <w:r>
        <w:t>A 404 counts as absent only for the exact scoped resource.</w:t>
      </w:r>
    </w:p>
    <w:p>
      <w:pPr>
        <w:pStyle w:val="ListBullet"/>
        <w:spacing w:after="40"/>
      </w:pPr>
      <w:r>
        <w:t>Ownership conflicts block destructive cleanup and produce an operator-visible event.</w:t>
      </w:r>
    </w:p>
    <w:p>
      <w:pPr>
        <w:pStyle w:val="ListBullet"/>
        <w:spacing w:after="40"/>
      </w:pPr>
      <w:r>
        <w:t>Emergency force-removal is an operational procedure outside normal reconciliation and must be audited.</w:t>
      </w:r>
    </w:p>
    <w:p>
      <w:r>
        <w:br w:type="page"/>
      </w:r>
    </w:p>
    <w:p>
      <w:pPr>
        <w:pStyle w:val="Heading1"/>
      </w:pPr>
      <w:r>
        <w:t>15. Validation Pipeline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Stage</w:t>
            </w:r>
          </w:p>
        </w:tc>
        <w:tc>
          <w:tcPr>
            <w:tcW w:type="dxa" w:w="3389"/>
            <w:shd w:fill="D9EAF7"/>
            <w:vAlign w:val="center"/>
          </w:tcPr>
          <w:p>
            <w:pPr>
              <w:spacing w:after="0" w:before="0" w:line="240" w:lineRule="auto"/>
            </w:pPr>
            <w:r>
              <w:rPr>
                <w:sz w:val="16"/>
              </w:rPr>
              <w:t>Examples</w:t>
            </w:r>
          </w:p>
        </w:tc>
        <w:tc>
          <w:tcPr>
            <w:tcW w:type="dxa" w:w="3389"/>
            <w:shd w:fill="D9EAF7"/>
            <w:vAlign w:val="center"/>
          </w:tcPr>
          <w:p>
            <w:pPr>
              <w:spacing w:after="0" w:before="0" w:line="240" w:lineRule="auto"/>
            </w:pPr>
            <w:r>
              <w:rPr>
                <w:sz w:val="16"/>
              </w:rPr>
              <w:t>Output</w:t>
            </w:r>
          </w:p>
        </w:tc>
      </w:tr>
      <w:tr>
        <w:tc>
          <w:tcPr>
            <w:tcW w:type="dxa" w:w="3389"/>
            <w:vAlign w:val="top"/>
          </w:tcPr>
          <w:p>
            <w:pPr>
              <w:spacing w:after="0" w:before="0" w:line="240" w:lineRule="auto"/>
            </w:pPr>
            <w:r>
              <w:rPr>
                <w:sz w:val="16"/>
              </w:rPr>
              <w:t>Claim validation</w:t>
            </w:r>
          </w:p>
        </w:tc>
        <w:tc>
          <w:tcPr>
            <w:tcW w:type="dxa" w:w="3389"/>
            <w:vAlign w:val="top"/>
          </w:tcPr>
          <w:p>
            <w:pPr>
              <w:spacing w:after="0" w:before="0" w:line="240" w:lineRule="auto"/>
            </w:pPr>
            <w:r>
              <w:rPr>
                <w:sz w:val="16"/>
              </w:rPr>
              <w:t>class/loadBalancerClass, namespace policy</w:t>
            </w:r>
          </w:p>
        </w:tc>
        <w:tc>
          <w:tcPr>
            <w:tcW w:type="dxa" w:w="3389"/>
            <w:vAlign w:val="top"/>
          </w:tcPr>
          <w:p>
            <w:pPr>
              <w:spacing w:after="0" w:before="0" w:line="240" w:lineRule="auto"/>
            </w:pPr>
            <w:r>
              <w:rPr>
                <w:sz w:val="16"/>
              </w:rPr>
              <w:t>claimed or ignored</w:t>
            </w:r>
          </w:p>
        </w:tc>
      </w:tr>
      <w:tr>
        <w:tc>
          <w:tcPr>
            <w:tcW w:type="dxa" w:w="3389"/>
            <w:vAlign w:val="top"/>
          </w:tcPr>
          <w:p>
            <w:pPr>
              <w:spacing w:after="0" w:before="0" w:line="240" w:lineRule="auto"/>
            </w:pPr>
            <w:r>
              <w:rPr>
                <w:sz w:val="16"/>
              </w:rPr>
              <w:t>Kubernetes shape</w:t>
            </w:r>
          </w:p>
        </w:tc>
        <w:tc>
          <w:tcPr>
            <w:tcW w:type="dxa" w:w="3389"/>
            <w:vAlign w:val="top"/>
          </w:tcPr>
          <w:p>
            <w:pPr>
              <w:spacing w:after="0" w:before="0" w:line="240" w:lineRule="auto"/>
            </w:pPr>
            <w:r>
              <w:rPr>
                <w:sz w:val="16"/>
              </w:rPr>
              <w:t>ports, protocols, backend references, path types</w:t>
            </w:r>
          </w:p>
        </w:tc>
        <w:tc>
          <w:tcPr>
            <w:tcW w:type="dxa" w:w="3389"/>
            <w:vAlign w:val="top"/>
          </w:tcPr>
          <w:p>
            <w:pPr>
              <w:spacing w:after="0" w:before="0" w:line="240" w:lineRule="auto"/>
            </w:pPr>
            <w:r>
              <w:rPr>
                <w:sz w:val="16"/>
              </w:rPr>
              <w:t>typed normalized input</w:t>
            </w:r>
          </w:p>
        </w:tc>
      </w:tr>
      <w:tr>
        <w:tc>
          <w:tcPr>
            <w:tcW w:type="dxa" w:w="3389"/>
            <w:vAlign w:val="top"/>
          </w:tcPr>
          <w:p>
            <w:pPr>
              <w:spacing w:after="0" w:before="0" w:line="240" w:lineRule="auto"/>
            </w:pPr>
            <w:r>
              <w:rPr>
                <w:sz w:val="16"/>
              </w:rPr>
              <w:t>Feature compatibility</w:t>
            </w:r>
          </w:p>
        </w:tc>
        <w:tc>
          <w:tcPr>
            <w:tcW w:type="dxa" w:w="3389"/>
            <w:vAlign w:val="top"/>
          </w:tcPr>
          <w:p>
            <w:pPr>
              <w:spacing w:after="0" w:before="0" w:line="240" w:lineRule="auto"/>
            </w:pPr>
            <w:r>
              <w:rPr>
                <w:sz w:val="16"/>
              </w:rPr>
              <w:t>shared VIP, TLS, persistence, health monitors</w:t>
            </w:r>
          </w:p>
        </w:tc>
        <w:tc>
          <w:tcPr>
            <w:tcW w:type="dxa" w:w="3389"/>
            <w:vAlign w:val="top"/>
          </w:tcPr>
          <w:p>
            <w:pPr>
              <w:spacing w:after="0" w:before="0" w:line="240" w:lineRule="auto"/>
            </w:pPr>
            <w:r>
              <w:rPr>
                <w:sz w:val="16"/>
              </w:rPr>
              <w:t>supported or explicit permanent error</w:t>
            </w:r>
          </w:p>
        </w:tc>
      </w:tr>
      <w:tr>
        <w:tc>
          <w:tcPr>
            <w:tcW w:type="dxa" w:w="3389"/>
            <w:vAlign w:val="top"/>
          </w:tcPr>
          <w:p>
            <w:pPr>
              <w:spacing w:after="0" w:before="0" w:line="240" w:lineRule="auto"/>
            </w:pPr>
            <w:r>
              <w:rPr>
                <w:sz w:val="16"/>
              </w:rPr>
              <w:t>Provider context</w:t>
            </w:r>
          </w:p>
        </w:tc>
        <w:tc>
          <w:tcPr>
            <w:tcW w:type="dxa" w:w="3389"/>
            <w:vAlign w:val="top"/>
          </w:tcPr>
          <w:p>
            <w:pPr>
              <w:spacing w:after="0" w:before="0" w:line="240" w:lineRule="auto"/>
            </w:pPr>
            <w:r>
              <w:rPr>
                <w:sz w:val="16"/>
              </w:rPr>
              <w:t>organization, project, network, flavor</w:t>
            </w:r>
          </w:p>
        </w:tc>
        <w:tc>
          <w:tcPr>
            <w:tcW w:type="dxa" w:w="3389"/>
            <w:vAlign w:val="top"/>
          </w:tcPr>
          <w:p>
            <w:pPr>
              <w:spacing w:after="0" w:before="0" w:line="240" w:lineRule="auto"/>
            </w:pPr>
            <w:r>
              <w:rPr>
                <w:sz w:val="16"/>
              </w:rPr>
              <w:t>validated provider scope</w:t>
            </w:r>
          </w:p>
        </w:tc>
      </w:tr>
      <w:tr>
        <w:tc>
          <w:tcPr>
            <w:tcW w:type="dxa" w:w="3389"/>
            <w:vAlign w:val="top"/>
          </w:tcPr>
          <w:p>
            <w:pPr>
              <w:spacing w:after="0" w:before="0" w:line="240" w:lineRule="auto"/>
            </w:pPr>
            <w:r>
              <w:rPr>
                <w:sz w:val="16"/>
              </w:rPr>
              <w:t>Cross-resource validation</w:t>
            </w:r>
          </w:p>
        </w:tc>
        <w:tc>
          <w:tcPr>
            <w:tcW w:type="dxa" w:w="3389"/>
            <w:vAlign w:val="top"/>
          </w:tcPr>
          <w:p>
            <w:pPr>
              <w:spacing w:after="0" w:before="0" w:line="240" w:lineRule="auto"/>
            </w:pPr>
            <w:r>
              <w:rPr>
                <w:sz w:val="16"/>
              </w:rPr>
              <w:t>unique frontend tuples; route priority; compatible pool action</w:t>
            </w:r>
          </w:p>
        </w:tc>
        <w:tc>
          <w:tcPr>
            <w:tcW w:type="dxa" w:w="3389"/>
            <w:vAlign w:val="top"/>
          </w:tcPr>
          <w:p>
            <w:pPr>
              <w:spacing w:after="0" w:before="0" w:line="240" w:lineRule="auto"/>
            </w:pPr>
            <w:r>
              <w:rPr>
                <w:sz w:val="16"/>
              </w:rPr>
              <w:t>complete build plan</w:t>
            </w:r>
          </w:p>
        </w:tc>
      </w:tr>
      <w:tr>
        <w:tc>
          <w:tcPr>
            <w:tcW w:type="dxa" w:w="3389"/>
            <w:vAlign w:val="top"/>
          </w:tcPr>
          <w:p>
            <w:pPr>
              <w:spacing w:after="0" w:before="0" w:line="240" w:lineRule="auto"/>
            </w:pPr>
            <w:r>
              <w:rPr>
                <w:sz w:val="16"/>
              </w:rPr>
              <w:t>Resolved identity validation</w:t>
            </w:r>
          </w:p>
        </w:tc>
        <w:tc>
          <w:tcPr>
            <w:tcW w:type="dxa" w:w="3389"/>
            <w:vAlign w:val="top"/>
          </w:tcPr>
          <w:p>
            <w:pPr>
              <w:spacing w:after="0" w:before="0" w:line="240" w:lineRule="auto"/>
            </w:pPr>
            <w:r>
              <w:rPr>
                <w:sz w:val="16"/>
              </w:rPr>
              <w:t>VM and port belong to expected network</w:t>
            </w:r>
          </w:p>
        </w:tc>
        <w:tc>
          <w:tcPr>
            <w:tcW w:type="dxa" w:w="3389"/>
            <w:vAlign w:val="top"/>
          </w:tcPr>
          <w:p>
            <w:pPr>
              <w:spacing w:after="0" w:before="0" w:line="240" w:lineRule="auto"/>
            </w:pPr>
            <w:r>
              <w:rPr>
                <w:sz w:val="16"/>
              </w:rPr>
              <w:t>safe backend members</w:t>
            </w:r>
          </w:p>
        </w:tc>
      </w:tr>
    </w:tbl>
    <w:p>
      <w:pPr>
        <w:spacing w:after="80"/>
      </w:pPr>
      <w:r>
        <w:t>Validation errors are user-facing and stable. They include field paths and supported alternatives. Provider calls are not made for a model that fails validation, except read-only capability or identity checks required to validate it.</w:t>
      </w:r>
    </w:p>
    <w:p>
      <w:r>
        <w:br w:type="page"/>
      </w:r>
    </w:p>
    <w:p>
      <w:pPr>
        <w:pStyle w:val="Heading1"/>
      </w:pPr>
      <w:r>
        <w:t>16. Resource Lifecycle State Model</w:t>
      </w:r>
    </w:p>
    <w:p>
      <w:pPr>
        <w:jc w:val="center"/>
      </w:pPr>
      <w:r>
        <w:drawing>
          <wp:inline xmlns:a="http://schemas.openxmlformats.org/drawingml/2006/main" xmlns:pic="http://schemas.openxmlformats.org/drawingml/2006/picture">
            <wp:extent cx="6309360" cy="3532727"/>
            <wp:docPr id="9" name="Picture 9"/>
            <wp:cNvGraphicFramePr>
              <a:graphicFrameLocks noChangeAspect="1"/>
            </wp:cNvGraphicFramePr>
            <a:graphic>
              <a:graphicData uri="http://schemas.openxmlformats.org/drawingml/2006/picture">
                <pic:pic>
                  <pic:nvPicPr>
                    <pic:cNvPr id="0" name="resource_state.png"/>
                    <pic:cNvPicPr/>
                  </pic:nvPicPr>
                  <pic:blipFill>
                    <a:blip r:embed="rId16"/>
                    <a:stretch>
                      <a:fillRect/>
                    </a:stretch>
                  </pic:blipFill>
                  <pic:spPr>
                    <a:xfrm>
                      <a:off x="0" y="0"/>
                      <a:ext cx="6309360" cy="3532727"/>
                    </a:xfrm>
                    <a:prstGeom prst="rect"/>
                  </pic:spPr>
                </pic:pic>
              </a:graphicData>
            </a:graphic>
          </wp:inline>
        </w:drawing>
      </w:r>
    </w:p>
    <w:p>
      <w:pPr>
        <w:jc w:val="center"/>
      </w:pPr>
      <w:r>
        <w:rPr>
          <w:i/>
          <w:sz w:val="16"/>
        </w:rPr>
        <w:t>Figure 2-9. Provider resource lifecycle state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State</w:t>
            </w:r>
          </w:p>
        </w:tc>
        <w:tc>
          <w:tcPr>
            <w:tcW w:type="dxa" w:w="3389"/>
            <w:shd w:fill="D9EAF7"/>
            <w:vAlign w:val="center"/>
          </w:tcPr>
          <w:p>
            <w:pPr>
              <w:spacing w:after="0" w:before="0" w:line="240" w:lineRule="auto"/>
            </w:pPr>
            <w:r>
              <w:rPr>
                <w:sz w:val="16"/>
              </w:rPr>
              <w:t>Meaning</w:t>
            </w:r>
          </w:p>
        </w:tc>
        <w:tc>
          <w:tcPr>
            <w:tcW w:type="dxa" w:w="3389"/>
            <w:shd w:fill="D9EAF7"/>
            <w:vAlign w:val="center"/>
          </w:tcPr>
          <w:p>
            <w:pPr>
              <w:spacing w:after="0" w:before="0" w:line="240" w:lineRule="auto"/>
            </w:pPr>
            <w:r>
              <w:rPr>
                <w:sz w:val="16"/>
              </w:rPr>
              <w:t>Controller action</w:t>
            </w:r>
          </w:p>
        </w:tc>
      </w:tr>
      <w:tr>
        <w:tc>
          <w:tcPr>
            <w:tcW w:type="dxa" w:w="3389"/>
            <w:vAlign w:val="top"/>
          </w:tcPr>
          <w:p>
            <w:pPr>
              <w:spacing w:after="0" w:before="0" w:line="240" w:lineRule="auto"/>
            </w:pPr>
            <w:r>
              <w:rPr>
                <w:sz w:val="16"/>
              </w:rPr>
              <w:t>Absent</w:t>
            </w:r>
          </w:p>
        </w:tc>
        <w:tc>
          <w:tcPr>
            <w:tcW w:type="dxa" w:w="3389"/>
            <w:vAlign w:val="top"/>
          </w:tcPr>
          <w:p>
            <w:pPr>
              <w:spacing w:after="0" w:before="0" w:line="240" w:lineRule="auto"/>
            </w:pPr>
            <w:r>
              <w:rPr>
                <w:sz w:val="16"/>
              </w:rPr>
              <w:t>No owned provider object</w:t>
            </w:r>
          </w:p>
        </w:tc>
        <w:tc>
          <w:tcPr>
            <w:tcW w:type="dxa" w:w="3389"/>
            <w:vAlign w:val="top"/>
          </w:tcPr>
          <w:p>
            <w:pPr>
              <w:spacing w:after="0" w:before="0" w:line="240" w:lineRule="auto"/>
            </w:pPr>
            <w:r>
              <w:rPr>
                <w:sz w:val="16"/>
              </w:rPr>
              <w:t>Create when desired</w:t>
            </w:r>
          </w:p>
        </w:tc>
      </w:tr>
      <w:tr>
        <w:tc>
          <w:tcPr>
            <w:tcW w:type="dxa" w:w="3389"/>
            <w:vAlign w:val="top"/>
          </w:tcPr>
          <w:p>
            <w:pPr>
              <w:spacing w:after="0" w:before="0" w:line="240" w:lineRule="auto"/>
            </w:pPr>
            <w:r>
              <w:rPr>
                <w:sz w:val="16"/>
              </w:rPr>
              <w:t>Creating</w:t>
            </w:r>
          </w:p>
        </w:tc>
        <w:tc>
          <w:tcPr>
            <w:tcW w:type="dxa" w:w="3389"/>
            <w:vAlign w:val="top"/>
          </w:tcPr>
          <w:p>
            <w:pPr>
              <w:spacing w:after="0" w:before="0" w:line="240" w:lineRule="auto"/>
            </w:pPr>
            <w:r>
              <w:rPr>
                <w:sz w:val="16"/>
              </w:rPr>
              <w:t>Create accepted; identity may or may not be returned</w:t>
            </w:r>
          </w:p>
        </w:tc>
        <w:tc>
          <w:tcPr>
            <w:tcW w:type="dxa" w:w="3389"/>
            <w:vAlign w:val="top"/>
          </w:tcPr>
          <w:p>
            <w:pPr>
              <w:spacing w:after="0" w:before="0" w:line="240" w:lineRule="auto"/>
            </w:pPr>
            <w:r>
              <w:rPr>
                <w:sz w:val="16"/>
              </w:rPr>
              <w:t>Rediscover/poll with bounded interval</w:t>
            </w:r>
          </w:p>
        </w:tc>
      </w:tr>
      <w:tr>
        <w:tc>
          <w:tcPr>
            <w:tcW w:type="dxa" w:w="3389"/>
            <w:vAlign w:val="top"/>
          </w:tcPr>
          <w:p>
            <w:pPr>
              <w:spacing w:after="0" w:before="0" w:line="240" w:lineRule="auto"/>
            </w:pPr>
            <w:r>
              <w:rPr>
                <w:sz w:val="16"/>
              </w:rPr>
              <w:t>Provisioning</w:t>
            </w:r>
          </w:p>
        </w:tc>
        <w:tc>
          <w:tcPr>
            <w:tcW w:type="dxa" w:w="3389"/>
            <w:vAlign w:val="top"/>
          </w:tcPr>
          <w:p>
            <w:pPr>
              <w:spacing w:after="0" w:before="0" w:line="240" w:lineRule="auto"/>
            </w:pPr>
            <w:r>
              <w:rPr>
                <w:sz w:val="16"/>
              </w:rPr>
              <w:t>Object exists but not ready</w:t>
            </w:r>
          </w:p>
        </w:tc>
        <w:tc>
          <w:tcPr>
            <w:tcW w:type="dxa" w:w="3389"/>
            <w:vAlign w:val="top"/>
          </w:tcPr>
          <w:p>
            <w:pPr>
              <w:spacing w:after="0" w:before="0" w:line="240" w:lineRule="auto"/>
            </w:pPr>
            <w:r>
              <w:rPr>
                <w:sz w:val="16"/>
              </w:rPr>
              <w:t>Do not publish dependent readiness</w:t>
            </w:r>
          </w:p>
        </w:tc>
      </w:tr>
      <w:tr>
        <w:tc>
          <w:tcPr>
            <w:tcW w:type="dxa" w:w="3389"/>
            <w:vAlign w:val="top"/>
          </w:tcPr>
          <w:p>
            <w:pPr>
              <w:spacing w:after="0" w:before="0" w:line="240" w:lineRule="auto"/>
            </w:pPr>
            <w:r>
              <w:rPr>
                <w:sz w:val="16"/>
              </w:rPr>
              <w:t>Ready</w:t>
            </w:r>
          </w:p>
        </w:tc>
        <w:tc>
          <w:tcPr>
            <w:tcW w:type="dxa" w:w="3389"/>
            <w:vAlign w:val="top"/>
          </w:tcPr>
          <w:p>
            <w:pPr>
              <w:spacing w:after="0" w:before="0" w:line="240" w:lineRule="auto"/>
            </w:pPr>
            <w:r>
              <w:rPr>
                <w:sz w:val="16"/>
              </w:rPr>
              <w:t>Desired and observed are converged</w:t>
            </w:r>
          </w:p>
        </w:tc>
        <w:tc>
          <w:tcPr>
            <w:tcW w:type="dxa" w:w="3389"/>
            <w:vAlign w:val="top"/>
          </w:tcPr>
          <w:p>
            <w:pPr>
              <w:spacing w:after="0" w:before="0" w:line="240" w:lineRule="auto"/>
            </w:pPr>
            <w:r>
              <w:rPr>
                <w:sz w:val="16"/>
              </w:rPr>
              <w:t>NoOp; publish status</w:t>
            </w:r>
          </w:p>
        </w:tc>
      </w:tr>
      <w:tr>
        <w:tc>
          <w:tcPr>
            <w:tcW w:type="dxa" w:w="3389"/>
            <w:vAlign w:val="top"/>
          </w:tcPr>
          <w:p>
            <w:pPr>
              <w:spacing w:after="0" w:before="0" w:line="240" w:lineRule="auto"/>
            </w:pPr>
            <w:r>
              <w:rPr>
                <w:sz w:val="16"/>
              </w:rPr>
              <w:t>Degraded</w:t>
            </w:r>
          </w:p>
        </w:tc>
        <w:tc>
          <w:tcPr>
            <w:tcW w:type="dxa" w:w="3389"/>
            <w:vAlign w:val="top"/>
          </w:tcPr>
          <w:p>
            <w:pPr>
              <w:spacing w:after="0" w:before="0" w:line="240" w:lineRule="auto"/>
            </w:pPr>
            <w:r>
              <w:rPr>
                <w:sz w:val="16"/>
              </w:rPr>
              <w:t>Retryable provider/dependency failure</w:t>
            </w:r>
          </w:p>
        </w:tc>
        <w:tc>
          <w:tcPr>
            <w:tcW w:type="dxa" w:w="3389"/>
            <w:vAlign w:val="top"/>
          </w:tcPr>
          <w:p>
            <w:pPr>
              <w:spacing w:after="0" w:before="0" w:line="240" w:lineRule="auto"/>
            </w:pPr>
            <w:r>
              <w:rPr>
                <w:sz w:val="16"/>
              </w:rPr>
              <w:t>Retry with classified backoff</w:t>
            </w:r>
          </w:p>
        </w:tc>
      </w:tr>
      <w:tr>
        <w:tc>
          <w:tcPr>
            <w:tcW w:type="dxa" w:w="3389"/>
            <w:vAlign w:val="top"/>
          </w:tcPr>
          <w:p>
            <w:pPr>
              <w:spacing w:after="0" w:before="0" w:line="240" w:lineRule="auto"/>
            </w:pPr>
            <w:r>
              <w:rPr>
                <w:sz w:val="16"/>
              </w:rPr>
              <w:t>Failed</w:t>
            </w:r>
          </w:p>
        </w:tc>
        <w:tc>
          <w:tcPr>
            <w:tcW w:type="dxa" w:w="3389"/>
            <w:vAlign w:val="top"/>
          </w:tcPr>
          <w:p>
            <w:pPr>
              <w:spacing w:after="0" w:before="0" w:line="240" w:lineRule="auto"/>
            </w:pPr>
            <w:r>
              <w:rPr>
                <w:sz w:val="16"/>
              </w:rPr>
              <w:t>Permanent desired configuration/provider rejection</w:t>
            </w:r>
          </w:p>
        </w:tc>
        <w:tc>
          <w:tcPr>
            <w:tcW w:type="dxa" w:w="3389"/>
            <w:vAlign w:val="top"/>
          </w:tcPr>
          <w:p>
            <w:pPr>
              <w:spacing w:after="0" w:before="0" w:line="240" w:lineRule="auto"/>
            </w:pPr>
            <w:r>
              <w:rPr>
                <w:sz w:val="16"/>
              </w:rPr>
              <w:t>Event and wait for desired change</w:t>
            </w:r>
          </w:p>
        </w:tc>
      </w:tr>
      <w:tr>
        <w:tc>
          <w:tcPr>
            <w:tcW w:type="dxa" w:w="3389"/>
            <w:vAlign w:val="top"/>
          </w:tcPr>
          <w:p>
            <w:pPr>
              <w:spacing w:after="0" w:before="0" w:line="240" w:lineRule="auto"/>
            </w:pPr>
            <w:r>
              <w:rPr>
                <w:sz w:val="16"/>
              </w:rPr>
              <w:t>Deleting</w:t>
            </w:r>
          </w:p>
        </w:tc>
        <w:tc>
          <w:tcPr>
            <w:tcW w:type="dxa" w:w="3389"/>
            <w:vAlign w:val="top"/>
          </w:tcPr>
          <w:p>
            <w:pPr>
              <w:spacing w:after="0" w:before="0" w:line="240" w:lineRule="auto"/>
            </w:pPr>
            <w:r>
              <w:rPr>
                <w:sz w:val="16"/>
              </w:rPr>
              <w:t>Delete accepted; object still visible</w:t>
            </w:r>
          </w:p>
        </w:tc>
        <w:tc>
          <w:tcPr>
            <w:tcW w:type="dxa" w:w="3389"/>
            <w:vAlign w:val="top"/>
          </w:tcPr>
          <w:p>
            <w:pPr>
              <w:spacing w:after="0" w:before="0" w:line="240" w:lineRule="auto"/>
            </w:pPr>
            <w:r>
              <w:rPr>
                <w:sz w:val="16"/>
              </w:rPr>
              <w:t>Poll until absent</w:t>
            </w:r>
          </w:p>
        </w:tc>
      </w:tr>
    </w:tbl>
    <w:p>
      <w:r>
        <w:br w:type="page"/>
      </w:r>
    </w:p>
    <w:p>
      <w:pPr>
        <w:pStyle w:val="Heading1"/>
      </w:pPr>
      <w:r>
        <w:t>17. Typed CMP Client Architecture</w:t>
      </w:r>
    </w:p>
    <w:p>
      <w:pPr>
        <w:pStyle w:val="Heading2"/>
      </w:pPr>
      <w:r>
        <w:t>17.1 Client boundaries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Client</w:t>
            </w:r>
          </w:p>
        </w:tc>
        <w:tc>
          <w:tcPr>
            <w:tcW w:type="dxa" w:w="5083"/>
            <w:shd w:fill="D9EAF7"/>
            <w:vAlign w:val="center"/>
          </w:tcPr>
          <w:p>
            <w:pPr>
              <w:spacing w:after="0" w:before="0" w:line="240" w:lineRule="auto"/>
            </w:pPr>
            <w:r>
              <w:rPr>
                <w:sz w:val="16"/>
              </w:rPr>
              <w:t>Representative operations</w:t>
            </w:r>
          </w:p>
        </w:tc>
      </w:tr>
      <w:tr>
        <w:tc>
          <w:tcPr>
            <w:tcW w:type="dxa" w:w="5083"/>
            <w:vAlign w:val="top"/>
          </w:tcPr>
          <w:p>
            <w:pPr>
              <w:spacing w:after="0" w:before="0" w:line="240" w:lineRule="auto"/>
            </w:pPr>
            <w:r>
              <w:rPr>
                <w:sz w:val="16"/>
              </w:rPr>
              <w:t>LBServiceClient</w:t>
            </w:r>
          </w:p>
        </w:tc>
        <w:tc>
          <w:tcPr>
            <w:tcW w:type="dxa" w:w="5083"/>
            <w:vAlign w:val="top"/>
          </w:tcPr>
          <w:p>
            <w:pPr>
              <w:spacing w:after="0" w:before="0" w:line="240" w:lineRule="auto"/>
            </w:pPr>
            <w:r>
              <w:rPr>
                <w:sz w:val="16"/>
              </w:rPr>
              <w:t>List/Get/Create/Delete LB services; labels</w:t>
            </w:r>
          </w:p>
        </w:tc>
      </w:tr>
      <w:tr>
        <w:tc>
          <w:tcPr>
            <w:tcW w:type="dxa" w:w="5083"/>
            <w:vAlign w:val="top"/>
          </w:tcPr>
          <w:p>
            <w:pPr>
              <w:spacing w:after="0" w:before="0" w:line="240" w:lineRule="auto"/>
            </w:pPr>
            <w:r>
              <w:rPr>
                <w:sz w:val="16"/>
              </w:rPr>
              <w:t>VIPClient</w:t>
            </w:r>
          </w:p>
        </w:tc>
        <w:tc>
          <w:tcPr>
            <w:tcW w:type="dxa" w:w="5083"/>
            <w:vAlign w:val="top"/>
          </w:tcPr>
          <w:p>
            <w:pPr>
              <w:spacing w:after="0" w:before="0" w:line="240" w:lineRule="auto"/>
            </w:pPr>
            <w:r>
              <w:rPr>
                <w:sz w:val="16"/>
              </w:rPr>
              <w:t>List/Create/Delete VIP; obtain allocated address</w:t>
            </w:r>
          </w:p>
        </w:tc>
      </w:tr>
      <w:tr>
        <w:tc>
          <w:tcPr>
            <w:tcW w:type="dxa" w:w="5083"/>
            <w:vAlign w:val="top"/>
          </w:tcPr>
          <w:p>
            <w:pPr>
              <w:spacing w:after="0" w:before="0" w:line="240" w:lineRule="auto"/>
            </w:pPr>
            <w:r>
              <w:rPr>
                <w:sz w:val="16"/>
              </w:rPr>
              <w:t>VirtualServerClient</w:t>
            </w:r>
          </w:p>
        </w:tc>
        <w:tc>
          <w:tcPr>
            <w:tcW w:type="dxa" w:w="5083"/>
            <w:vAlign w:val="top"/>
          </w:tcPr>
          <w:p>
            <w:pPr>
              <w:spacing w:after="0" w:before="0" w:line="240" w:lineRule="auto"/>
            </w:pPr>
            <w:r>
              <w:rPr>
                <w:sz w:val="16"/>
              </w:rPr>
              <w:t>List/Get/Create/Patch/Delete; health check</w:t>
            </w:r>
          </w:p>
        </w:tc>
      </w:tr>
      <w:tr>
        <w:tc>
          <w:tcPr>
            <w:tcW w:type="dxa" w:w="5083"/>
            <w:vAlign w:val="top"/>
          </w:tcPr>
          <w:p>
            <w:pPr>
              <w:spacing w:after="0" w:before="0" w:line="240" w:lineRule="auto"/>
            </w:pPr>
            <w:r>
              <w:rPr>
                <w:sz w:val="16"/>
              </w:rPr>
              <w:t>PoolClient</w:t>
            </w:r>
          </w:p>
        </w:tc>
        <w:tc>
          <w:tcPr>
            <w:tcW w:type="dxa" w:w="5083"/>
            <w:vAlign w:val="top"/>
          </w:tcPr>
          <w:p>
            <w:pPr>
              <w:spacing w:after="0" w:before="0" w:line="240" w:lineRule="auto"/>
            </w:pPr>
            <w:r>
              <w:rPr>
                <w:sz w:val="16"/>
              </w:rPr>
              <w:t>Create/Get/Delete; set default</w:t>
            </w:r>
          </w:p>
        </w:tc>
      </w:tr>
      <w:tr>
        <w:tc>
          <w:tcPr>
            <w:tcW w:type="dxa" w:w="5083"/>
            <w:vAlign w:val="top"/>
          </w:tcPr>
          <w:p>
            <w:pPr>
              <w:spacing w:after="0" w:before="0" w:line="240" w:lineRule="auto"/>
            </w:pPr>
            <w:r>
              <w:rPr>
                <w:sz w:val="16"/>
              </w:rPr>
              <w:t>MemberClient</w:t>
            </w:r>
          </w:p>
        </w:tc>
        <w:tc>
          <w:tcPr>
            <w:tcW w:type="dxa" w:w="5083"/>
            <w:vAlign w:val="top"/>
          </w:tcPr>
          <w:p>
            <w:pPr>
              <w:spacing w:after="0" w:before="0" w:line="240" w:lineRule="auto"/>
            </w:pPr>
            <w:r>
              <w:rPr>
                <w:sz w:val="16"/>
              </w:rPr>
              <w:t>Create/Update/Delete; administrative state; health</w:t>
            </w:r>
          </w:p>
        </w:tc>
      </w:tr>
      <w:tr>
        <w:tc>
          <w:tcPr>
            <w:tcW w:type="dxa" w:w="5083"/>
            <w:vAlign w:val="top"/>
          </w:tcPr>
          <w:p>
            <w:pPr>
              <w:spacing w:after="0" w:before="0" w:line="240" w:lineRule="auto"/>
            </w:pPr>
            <w:r>
              <w:rPr>
                <w:sz w:val="16"/>
              </w:rPr>
              <w:t>MonitorClient</w:t>
            </w:r>
          </w:p>
        </w:tc>
        <w:tc>
          <w:tcPr>
            <w:tcW w:type="dxa" w:w="5083"/>
            <w:vAlign w:val="top"/>
          </w:tcPr>
          <w:p>
            <w:pPr>
              <w:spacing w:after="0" w:before="0" w:line="240" w:lineRule="auto"/>
            </w:pPr>
            <w:r>
              <w:rPr>
                <w:sz w:val="16"/>
              </w:rPr>
              <w:t>List/Create/Update/Patch/Delete</w:t>
            </w:r>
          </w:p>
        </w:tc>
      </w:tr>
      <w:tr>
        <w:tc>
          <w:tcPr>
            <w:tcW w:type="dxa" w:w="5083"/>
            <w:vAlign w:val="top"/>
          </w:tcPr>
          <w:p>
            <w:pPr>
              <w:spacing w:after="0" w:before="0" w:line="240" w:lineRule="auto"/>
            </w:pPr>
            <w:r>
              <w:rPr>
                <w:sz w:val="16"/>
              </w:rPr>
              <w:t>RoutingRuleClient</w:t>
            </w:r>
          </w:p>
        </w:tc>
        <w:tc>
          <w:tcPr>
            <w:tcW w:type="dxa" w:w="5083"/>
            <w:vAlign w:val="top"/>
          </w:tcPr>
          <w:p>
            <w:pPr>
              <w:spacing w:after="0" w:before="0" w:line="240" w:lineRule="auto"/>
            </w:pPr>
            <w:r>
              <w:rPr>
                <w:sz w:val="16"/>
              </w:rPr>
              <w:t>List/Create/Delete rules</w:t>
            </w:r>
          </w:p>
        </w:tc>
      </w:tr>
      <w:tr>
        <w:tc>
          <w:tcPr>
            <w:tcW w:type="dxa" w:w="5083"/>
            <w:vAlign w:val="top"/>
          </w:tcPr>
          <w:p>
            <w:pPr>
              <w:spacing w:after="0" w:before="0" w:line="240" w:lineRule="auto"/>
            </w:pPr>
            <w:r>
              <w:rPr>
                <w:sz w:val="16"/>
              </w:rPr>
              <w:t>CertificateClient</w:t>
            </w:r>
          </w:p>
        </w:tc>
        <w:tc>
          <w:tcPr>
            <w:tcW w:type="dxa" w:w="5083"/>
            <w:vAlign w:val="top"/>
          </w:tcPr>
          <w:p>
            <w:pPr>
              <w:spacing w:after="0" w:before="0" w:line="240" w:lineRule="auto"/>
            </w:pPr>
            <w:r>
              <w:rPr>
                <w:sz w:val="16"/>
              </w:rPr>
              <w:t>Upload/list/delete and attach to LB/virtual server</w:t>
            </w:r>
          </w:p>
        </w:tc>
      </w:tr>
      <w:tr>
        <w:tc>
          <w:tcPr>
            <w:tcW w:type="dxa" w:w="5083"/>
            <w:vAlign w:val="top"/>
          </w:tcPr>
          <w:p>
            <w:pPr>
              <w:spacing w:after="0" w:before="0" w:line="240" w:lineRule="auto"/>
            </w:pPr>
            <w:r>
              <w:rPr>
                <w:sz w:val="16"/>
              </w:rPr>
              <w:t>ComputeClient</w:t>
            </w:r>
          </w:p>
        </w:tc>
        <w:tc>
          <w:tcPr>
            <w:tcW w:type="dxa" w:w="5083"/>
            <w:vAlign w:val="top"/>
          </w:tcPr>
          <w:p>
            <w:pPr>
              <w:spacing w:after="0" w:before="0" w:line="240" w:lineRule="auto"/>
            </w:pPr>
            <w:r>
              <w:rPr>
                <w:sz w:val="16"/>
              </w:rPr>
              <w:t>Resolve VM/resource by provider identity or IP</w:t>
            </w:r>
          </w:p>
        </w:tc>
      </w:tr>
      <w:tr>
        <w:tc>
          <w:tcPr>
            <w:tcW w:type="dxa" w:w="5083"/>
            <w:vAlign w:val="top"/>
          </w:tcPr>
          <w:p>
            <w:pPr>
              <w:spacing w:after="0" w:before="0" w:line="240" w:lineRule="auto"/>
            </w:pPr>
            <w:r>
              <w:rPr>
                <w:sz w:val="16"/>
              </w:rPr>
              <w:t>NetworkClient</w:t>
            </w:r>
          </w:p>
        </w:tc>
        <w:tc>
          <w:tcPr>
            <w:tcW w:type="dxa" w:w="5083"/>
            <w:vAlign w:val="top"/>
          </w:tcPr>
          <w:p>
            <w:pPr>
              <w:spacing w:after="0" w:before="0" w:line="240" w:lineRule="auto"/>
            </w:pPr>
            <w:r>
              <w:rPr>
                <w:sz w:val="16"/>
              </w:rPr>
              <w:t>Search port by IP; get port/network metadata</w:t>
            </w:r>
          </w:p>
        </w:tc>
      </w:tr>
    </w:tbl>
    <w:p>
      <w:pPr>
        <w:pStyle w:val="Heading2"/>
      </w:pPr>
      <w:r>
        <w:t>17.2 Transport contract</w:t>
      </w:r>
    </w:p>
    <w:p>
      <w:pPr>
        <w:pStyle w:val="ListBullet"/>
        <w:spacing w:after="40"/>
      </w:pPr>
      <w:r>
        <w:t>All methods accept context and honor cancellation/timeouts.</w:t>
      </w:r>
    </w:p>
    <w:p>
      <w:pPr>
        <w:pStyle w:val="ListBullet"/>
        <w:spacing w:after="40"/>
      </w:pPr>
      <w:r>
        <w:t>Authentication token acquisition/refresh is isolated from resource clients.</w:t>
      </w:r>
    </w:p>
    <w:p>
      <w:pPr>
        <w:pStyle w:val="ListBullet"/>
        <w:spacing w:after="40"/>
      </w:pPr>
      <w:r>
        <w:t>Requests and responses use generated or hand-maintained typed DTOs; raw map[string]any does not escape the client package.</w:t>
      </w:r>
    </w:p>
    <w:p>
      <w:pPr>
        <w:pStyle w:val="ListBullet"/>
        <w:spacing w:after="40"/>
      </w:pPr>
      <w:r>
        <w:t>HTTP status, provider error body, request ID and retry hints are converted to typed errors.</w:t>
      </w:r>
    </w:p>
    <w:p>
      <w:pPr>
        <w:pStyle w:val="ListBullet"/>
        <w:spacing w:after="40"/>
      </w:pPr>
      <w:r>
        <w:t>Sensitive headers and certificate material are redacted from logs.</w:t>
      </w:r>
    </w:p>
    <w:p>
      <w:pPr>
        <w:pStyle w:val="ListBullet"/>
        <w:spacing w:after="40"/>
      </w:pPr>
      <w:r>
        <w:t>Retries at transport level are limited to safe idempotent operations or requests with a provider-supported idempotency key.</w:t>
      </w:r>
    </w:p>
    <w:p>
      <w:pPr>
        <w:pStyle w:val="CodeBlock"/>
      </w:pPr>
      <w:r>
        <w:t>type APIError struct {</w:t>
        <w:br/>
        <w:t xml:space="preserve">    Operation string</w:t>
        <w:br/>
        <w:t xml:space="preserve">    StatusCode int</w:t>
        <w:br/>
        <w:t xml:space="preserve">    RequestID string</w:t>
        <w:br/>
        <w:t xml:space="preserve">    RetryAfter time.Duration</w:t>
        <w:br/>
        <w:t xml:space="preserve">    Category ErrorCategory</w:t>
        <w:br/>
        <w:t xml:space="preserve">    Message string</w:t>
        <w:br/>
        <w:t>}</w:t>
      </w:r>
    </w:p>
    <w:p>
      <w:r>
        <w:br w:type="page"/>
      </w:r>
    </w:p>
    <w:p>
      <w:pPr>
        <w:pStyle w:val="Heading1"/>
      </w:pPr>
      <w:r>
        <w:t>18. Status, Conditions, Events and Readiness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Output</w:t>
            </w:r>
          </w:p>
        </w:tc>
        <w:tc>
          <w:tcPr>
            <w:tcW w:type="dxa" w:w="5083"/>
            <w:shd w:fill="D9EAF7"/>
            <w:vAlign w:val="center"/>
          </w:tcPr>
          <w:p>
            <w:pPr>
              <w:spacing w:after="0" w:before="0" w:line="240" w:lineRule="auto"/>
            </w:pPr>
            <w:r>
              <w:rPr>
                <w:sz w:val="16"/>
              </w:rPr>
              <w:t>Rule</w:t>
            </w:r>
          </w:p>
        </w:tc>
      </w:tr>
      <w:tr>
        <w:tc>
          <w:tcPr>
            <w:tcW w:type="dxa" w:w="5083"/>
            <w:vAlign w:val="top"/>
          </w:tcPr>
          <w:p>
            <w:pPr>
              <w:spacing w:after="0" w:before="0" w:line="240" w:lineRule="auto"/>
            </w:pPr>
            <w:r>
              <w:rPr>
                <w:sz w:val="16"/>
              </w:rPr>
              <w:t>Service.status.loadBalancer.ingress</w:t>
            </w:r>
          </w:p>
        </w:tc>
        <w:tc>
          <w:tcPr>
            <w:tcW w:type="dxa" w:w="5083"/>
            <w:vAlign w:val="top"/>
          </w:tcPr>
          <w:p>
            <w:pPr>
              <w:spacing w:after="0" w:before="0" w:line="240" w:lineRule="auto"/>
            </w:pPr>
            <w:r>
              <w:rPr>
                <w:sz w:val="16"/>
              </w:rPr>
              <w:t>Write allocated VIP after frontend readiness gate</w:t>
            </w:r>
          </w:p>
        </w:tc>
      </w:tr>
      <w:tr>
        <w:tc>
          <w:tcPr>
            <w:tcW w:type="dxa" w:w="5083"/>
            <w:vAlign w:val="top"/>
          </w:tcPr>
          <w:p>
            <w:pPr>
              <w:spacing w:after="0" w:before="0" w:line="240" w:lineRule="auto"/>
            </w:pPr>
            <w:r>
              <w:rPr>
                <w:sz w:val="16"/>
              </w:rPr>
              <w:t>Ingress.status.loadBalancer.ingress</w:t>
            </w:r>
          </w:p>
        </w:tc>
        <w:tc>
          <w:tcPr>
            <w:tcW w:type="dxa" w:w="5083"/>
            <w:vAlign w:val="top"/>
          </w:tcPr>
          <w:p>
            <w:pPr>
              <w:spacing w:after="0" w:before="0" w:line="240" w:lineRule="auto"/>
            </w:pPr>
            <w:r>
              <w:rPr>
                <w:sz w:val="16"/>
              </w:rPr>
              <w:t>Write group VIP after required HTTP/HTTPS frontends are ready</w:t>
            </w:r>
          </w:p>
        </w:tc>
      </w:tr>
      <w:tr>
        <w:tc>
          <w:tcPr>
            <w:tcW w:type="dxa" w:w="5083"/>
            <w:vAlign w:val="top"/>
          </w:tcPr>
          <w:p>
            <w:pPr>
              <w:spacing w:after="0" w:before="0" w:line="240" w:lineRule="auto"/>
            </w:pPr>
            <w:r>
              <w:rPr>
                <w:sz w:val="16"/>
              </w:rPr>
              <w:t>Events</w:t>
            </w:r>
          </w:p>
        </w:tc>
        <w:tc>
          <w:tcPr>
            <w:tcW w:type="dxa" w:w="5083"/>
            <w:vAlign w:val="top"/>
          </w:tcPr>
          <w:p>
            <w:pPr>
              <w:spacing w:after="0" w:before="0" w:line="240" w:lineRule="auto"/>
            </w:pPr>
            <w:r>
              <w:rPr>
                <w:sz w:val="16"/>
              </w:rPr>
              <w:t>Emit accepted/provisioning/ready and actionable failures, rate-limited</w:t>
            </w:r>
          </w:p>
        </w:tc>
      </w:tr>
      <w:tr>
        <w:tc>
          <w:tcPr>
            <w:tcW w:type="dxa" w:w="5083"/>
            <w:vAlign w:val="top"/>
          </w:tcPr>
          <w:p>
            <w:pPr>
              <w:spacing w:after="0" w:before="0" w:line="240" w:lineRule="auto"/>
            </w:pPr>
            <w:r>
              <w:rPr>
                <w:sz w:val="16"/>
              </w:rPr>
              <w:t>Conditions</w:t>
            </w:r>
          </w:p>
        </w:tc>
        <w:tc>
          <w:tcPr>
            <w:tcW w:type="dxa" w:w="5083"/>
            <w:vAlign w:val="top"/>
          </w:tcPr>
          <w:p>
            <w:pPr>
              <w:spacing w:after="0" w:before="0" w:line="240" w:lineRule="auto"/>
            </w:pPr>
            <w:r>
              <w:rPr>
                <w:sz w:val="16"/>
              </w:rPr>
              <w:t>Use extension-owned condition surface only if a suitable API exists; otherwise Events and metrics</w:t>
            </w:r>
          </w:p>
        </w:tc>
      </w:tr>
      <w:tr>
        <w:tc>
          <w:tcPr>
            <w:tcW w:type="dxa" w:w="5083"/>
            <w:vAlign w:val="top"/>
          </w:tcPr>
          <w:p>
            <w:pPr>
              <w:spacing w:after="0" w:before="0" w:line="240" w:lineRule="auto"/>
            </w:pPr>
            <w:r>
              <w:rPr>
                <w:sz w:val="16"/>
              </w:rPr>
              <w:t>Observed IDs</w:t>
            </w:r>
          </w:p>
        </w:tc>
        <w:tc>
          <w:tcPr>
            <w:tcW w:type="dxa" w:w="5083"/>
            <w:vAlign w:val="top"/>
          </w:tcPr>
          <w:p>
            <w:pPr>
              <w:spacing w:after="0" w:before="0" w:line="240" w:lineRule="auto"/>
            </w:pPr>
            <w:r>
              <w:rPr>
                <w:sz w:val="16"/>
              </w:rPr>
              <w:t>Store only as optimization hints in a controlled annotation/status object if required; always verify ownership</w:t>
            </w:r>
          </w:p>
        </w:tc>
      </w:tr>
    </w:tbl>
    <w:p>
      <w:pPr>
        <w:pStyle w:val="Heading2"/>
      </w:pPr>
      <w:r>
        <w:t>18.1 Recommended readiness gate</w:t>
      </w:r>
    </w:p>
    <w:p>
      <w:pPr>
        <w:spacing w:after="80"/>
      </w:pPr>
      <w:r>
        <w:t>A frontend is ready when the LB Service, VIP and required Virtual Server are provider-ready, and each required default/routed pool exists. Backend health may be reported as degraded rather than blocking VIP publication, because an application can temporarily have zero ready endpoints. This policy is finalized per Service and Ingress semantics in Parts 3 and 4.</w:t>
      </w:r>
    </w:p>
    <w:p>
      <w:r>
        <w:br w:type="page"/>
      </w:r>
    </w:p>
    <w:p>
      <w:pPr>
        <w:pStyle w:val="Heading1"/>
      </w:pPr>
      <w:r>
        <w:t>19. Concurrency, Idempotency and Restart Recovery</w:t>
      </w:r>
    </w:p>
    <w:p>
      <w:pPr>
        <w:pStyle w:val="ListBullet"/>
        <w:spacing w:after="40"/>
      </w:pPr>
      <w:r>
        <w:t>Leader election ensures one active mutating controller instance per Shoot.</w:t>
      </w:r>
    </w:p>
    <w:p>
      <w:pPr>
        <w:pStyle w:val="ListBullet"/>
        <w:spacing w:after="40"/>
      </w:pPr>
      <w:r>
        <w:t>Per-key controller-runtime serialization is relied upon, but provider operations remain idempotent because duplicate events and failover can occur.</w:t>
      </w:r>
    </w:p>
    <w:p>
      <w:pPr>
        <w:pStyle w:val="ListBullet"/>
        <w:spacing w:after="40"/>
      </w:pPr>
      <w:r>
        <w:t>Create-time uncertainty is handled by rediscovery through ownership before issuing another create.</w:t>
      </w:r>
    </w:p>
    <w:p>
      <w:pPr>
        <w:pStyle w:val="ListBullet"/>
        <w:spacing w:after="40"/>
      </w:pPr>
      <w:r>
        <w:t>No correctness-critical state exists only in memory.</w:t>
      </w:r>
    </w:p>
    <w:p>
      <w:pPr>
        <w:pStyle w:val="ListBullet"/>
        <w:spacing w:after="40"/>
      </w:pPr>
      <w:r>
        <w:t>Logical IDs and ownership survive restarts; external IDs are rediscovered.</w:t>
      </w:r>
    </w:p>
    <w:p>
      <w:pPr>
        <w:pStyle w:val="ListBullet"/>
        <w:spacing w:after="40"/>
      </w:pPr>
      <w:r>
        <w:t>Status writes use merge/optimistic patches and do not overwrite unrelated fields.</w:t>
      </w:r>
    </w:p>
    <w:p>
      <w:pPr>
        <w:pStyle w:val="ListBullet"/>
        <w:spacing w:after="40"/>
      </w:pPr>
      <w:r>
        <w:t>Caches improve performance but may be discarded without changing correctness.</w:t>
      </w:r>
    </w:p>
    <w:p>
      <w:r>
        <w:br w:type="page"/>
      </w:r>
    </w:p>
    <w:p>
      <w:pPr>
        <w:pStyle w:val="Heading1"/>
      </w:pPr>
      <w:r>
        <w:t>20. Package Architecture</w:t>
      </w:r>
    </w:p>
    <w:p>
      <w:pPr>
        <w:jc w:val="center"/>
      </w:pPr>
      <w:r>
        <w:drawing>
          <wp:inline xmlns:a="http://schemas.openxmlformats.org/drawingml/2006/main" xmlns:pic="http://schemas.openxmlformats.org/drawingml/2006/picture">
            <wp:extent cx="6309360" cy="3532727"/>
            <wp:docPr id="10" name="Picture 10"/>
            <wp:cNvGraphicFramePr>
              <a:graphicFrameLocks noChangeAspect="1"/>
            </wp:cNvGraphicFramePr>
            <a:graphic>
              <a:graphicData uri="http://schemas.openxmlformats.org/drawingml/2006/picture">
                <pic:pic>
                  <pic:nvPicPr>
                    <pic:cNvPr id="0" name="package_diagram.png"/>
                    <pic:cNvPicPr/>
                  </pic:nvPicPr>
                  <pic:blipFill>
                    <a:blip r:embed="rId17"/>
                    <a:stretch>
                      <a:fillRect/>
                    </a:stretch>
                  </pic:blipFill>
                  <pic:spPr>
                    <a:xfrm>
                      <a:off x="0" y="0"/>
                      <a:ext cx="6309360" cy="3532727"/>
                    </a:xfrm>
                    <a:prstGeom prst="rect"/>
                  </pic:spPr>
                </pic:pic>
              </a:graphicData>
            </a:graphic>
          </wp:inline>
        </w:drawing>
      </w:r>
    </w:p>
    <w:p>
      <w:pPr>
        <w:jc w:val="center"/>
      </w:pPr>
      <w:r>
        <w:rPr>
          <w:i/>
          <w:sz w:val="16"/>
        </w:rPr>
        <w:t>Figure 2-10. Proposed package dependency structure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Package</w:t>
            </w:r>
          </w:p>
        </w:tc>
        <w:tc>
          <w:tcPr>
            <w:tcW w:type="dxa" w:w="5083"/>
            <w:shd w:fill="D9EAF7"/>
            <w:vAlign w:val="center"/>
          </w:tcPr>
          <w:p>
            <w:pPr>
              <w:spacing w:after="0" w:before="0" w:line="240" w:lineRule="auto"/>
            </w:pPr>
            <w:r>
              <w:rPr>
                <w:sz w:val="16"/>
              </w:rPr>
              <w:t>Contents</w:t>
            </w:r>
          </w:p>
        </w:tc>
      </w:tr>
      <w:tr>
        <w:tc>
          <w:tcPr>
            <w:tcW w:type="dxa" w:w="5083"/>
            <w:vAlign w:val="top"/>
          </w:tcPr>
          <w:p>
            <w:pPr>
              <w:spacing w:after="0" w:before="0" w:line="240" w:lineRule="auto"/>
            </w:pPr>
            <w:r>
              <w:rPr>
                <w:sz w:val="16"/>
              </w:rPr>
              <w:t>cmd/controller-manager</w:t>
            </w:r>
          </w:p>
        </w:tc>
        <w:tc>
          <w:tcPr>
            <w:tcW w:type="dxa" w:w="5083"/>
            <w:vAlign w:val="top"/>
          </w:tcPr>
          <w:p>
            <w:pPr>
              <w:spacing w:after="0" w:before="0" w:line="240" w:lineRule="auto"/>
            </w:pPr>
            <w:r>
              <w:rPr>
                <w:sz w:val="16"/>
              </w:rPr>
              <w:t>flags, configuration, dependency wiring, manager start</w:t>
            </w:r>
          </w:p>
        </w:tc>
      </w:tr>
      <w:tr>
        <w:tc>
          <w:tcPr>
            <w:tcW w:type="dxa" w:w="5083"/>
            <w:vAlign w:val="top"/>
          </w:tcPr>
          <w:p>
            <w:pPr>
              <w:spacing w:after="0" w:before="0" w:line="240" w:lineRule="auto"/>
            </w:pPr>
            <w:r>
              <w:rPr>
                <w:sz w:val="16"/>
              </w:rPr>
              <w:t>controllers/service</w:t>
            </w:r>
          </w:p>
        </w:tc>
        <w:tc>
          <w:tcPr>
            <w:tcW w:type="dxa" w:w="5083"/>
            <w:vAlign w:val="top"/>
          </w:tcPr>
          <w:p>
            <w:pPr>
              <w:spacing w:after="0" w:before="0" w:line="240" w:lineRule="auto"/>
            </w:pPr>
            <w:r>
              <w:rPr>
                <w:sz w:val="16"/>
              </w:rPr>
              <w:t>Service reconciler and event mapping</w:t>
            </w:r>
          </w:p>
        </w:tc>
      </w:tr>
      <w:tr>
        <w:tc>
          <w:tcPr>
            <w:tcW w:type="dxa" w:w="5083"/>
            <w:vAlign w:val="top"/>
          </w:tcPr>
          <w:p>
            <w:pPr>
              <w:spacing w:after="0" w:before="0" w:line="240" w:lineRule="auto"/>
            </w:pPr>
            <w:r>
              <w:rPr>
                <w:sz w:val="16"/>
              </w:rPr>
              <w:t>controllers/ingress</w:t>
            </w:r>
          </w:p>
        </w:tc>
        <w:tc>
          <w:tcPr>
            <w:tcW w:type="dxa" w:w="5083"/>
            <w:vAlign w:val="top"/>
          </w:tcPr>
          <w:p>
            <w:pPr>
              <w:spacing w:after="0" w:before="0" w:line="240" w:lineRule="auto"/>
            </w:pPr>
            <w:r>
              <w:rPr>
                <w:sz w:val="16"/>
              </w:rPr>
              <w:t>Ingress-group reconciler and event mapping</w:t>
            </w:r>
          </w:p>
        </w:tc>
      </w:tr>
      <w:tr>
        <w:tc>
          <w:tcPr>
            <w:tcW w:type="dxa" w:w="5083"/>
            <w:vAlign w:val="top"/>
          </w:tcPr>
          <w:p>
            <w:pPr>
              <w:spacing w:after="0" w:before="0" w:line="240" w:lineRule="auto"/>
            </w:pPr>
            <w:r>
              <w:rPr>
                <w:sz w:val="16"/>
              </w:rPr>
              <w:t>pkg/service</w:t>
            </w:r>
          </w:p>
        </w:tc>
        <w:tc>
          <w:tcPr>
            <w:tcW w:type="dxa" w:w="5083"/>
            <w:vAlign w:val="top"/>
          </w:tcPr>
          <w:p>
            <w:pPr>
              <w:spacing w:after="0" w:before="0" w:line="240" w:lineRule="auto"/>
            </w:pPr>
            <w:r>
              <w:rPr>
                <w:sz w:val="16"/>
              </w:rPr>
              <w:t>Service normalized input and model builder</w:t>
            </w:r>
          </w:p>
        </w:tc>
      </w:tr>
      <w:tr>
        <w:tc>
          <w:tcPr>
            <w:tcW w:type="dxa" w:w="5083"/>
            <w:vAlign w:val="top"/>
          </w:tcPr>
          <w:p>
            <w:pPr>
              <w:spacing w:after="0" w:before="0" w:line="240" w:lineRule="auto"/>
            </w:pPr>
            <w:r>
              <w:rPr>
                <w:sz w:val="16"/>
              </w:rPr>
              <w:t>pkg/ingress</w:t>
            </w:r>
          </w:p>
        </w:tc>
        <w:tc>
          <w:tcPr>
            <w:tcW w:type="dxa" w:w="5083"/>
            <w:vAlign w:val="top"/>
          </w:tcPr>
          <w:p>
            <w:pPr>
              <w:spacing w:after="0" w:before="0" w:line="240" w:lineRule="auto"/>
            </w:pPr>
            <w:r>
              <w:rPr>
                <w:sz w:val="16"/>
              </w:rPr>
              <w:t>Ingress grouping, normalized input and model builder</w:t>
            </w:r>
          </w:p>
        </w:tc>
      </w:tr>
      <w:tr>
        <w:tc>
          <w:tcPr>
            <w:tcW w:type="dxa" w:w="5083"/>
            <w:vAlign w:val="top"/>
          </w:tcPr>
          <w:p>
            <w:pPr>
              <w:spacing w:after="0" w:before="0" w:line="240" w:lineRule="auto"/>
            </w:pPr>
            <w:r>
              <w:rPr>
                <w:sz w:val="16"/>
              </w:rPr>
              <w:t>pkg/model</w:t>
            </w:r>
          </w:p>
        </w:tc>
        <w:tc>
          <w:tcPr>
            <w:tcW w:type="dxa" w:w="5083"/>
            <w:vAlign w:val="top"/>
          </w:tcPr>
          <w:p>
            <w:pPr>
              <w:spacing w:after="0" w:before="0" w:line="240" w:lineRule="auto"/>
            </w:pPr>
            <w:r>
              <w:rPr>
                <w:sz w:val="16"/>
              </w:rPr>
              <w:t>provider-independent internal graph and resource specs</w:t>
            </w:r>
          </w:p>
        </w:tc>
      </w:tr>
      <w:tr>
        <w:tc>
          <w:tcPr>
            <w:tcW w:type="dxa" w:w="5083"/>
            <w:vAlign w:val="top"/>
          </w:tcPr>
          <w:p>
            <w:pPr>
              <w:spacing w:after="0" w:before="0" w:line="240" w:lineRule="auto"/>
            </w:pPr>
            <w:r>
              <w:rPr>
                <w:sz w:val="16"/>
              </w:rPr>
              <w:t>pkg/deploy</w:t>
            </w:r>
          </w:p>
        </w:tc>
        <w:tc>
          <w:tcPr>
            <w:tcW w:type="dxa" w:w="5083"/>
            <w:vAlign w:val="top"/>
          </w:tcPr>
          <w:p>
            <w:pPr>
              <w:spacing w:after="0" w:before="0" w:line="240" w:lineRule="auto"/>
            </w:pPr>
            <w:r>
              <w:rPr>
                <w:sz w:val="16"/>
              </w:rPr>
              <w:t>stack deployer, planner, bindings and manager interfaces</w:t>
            </w:r>
          </w:p>
        </w:tc>
      </w:tr>
      <w:tr>
        <w:tc>
          <w:tcPr>
            <w:tcW w:type="dxa" w:w="5083"/>
            <w:vAlign w:val="top"/>
          </w:tcPr>
          <w:p>
            <w:pPr>
              <w:spacing w:after="0" w:before="0" w:line="240" w:lineRule="auto"/>
            </w:pPr>
            <w:r>
              <w:rPr>
                <w:sz w:val="16"/>
              </w:rPr>
              <w:t>pkg/deploy/lbservice etc.</w:t>
            </w:r>
          </w:p>
        </w:tc>
        <w:tc>
          <w:tcPr>
            <w:tcW w:type="dxa" w:w="5083"/>
            <w:vAlign w:val="top"/>
          </w:tcPr>
          <w:p>
            <w:pPr>
              <w:spacing w:after="0" w:before="0" w:line="240" w:lineRule="auto"/>
            </w:pPr>
            <w:r>
              <w:rPr>
                <w:sz w:val="16"/>
              </w:rPr>
              <w:t>resource-specific CMP reconciliation managers</w:t>
            </w:r>
          </w:p>
        </w:tc>
      </w:tr>
      <w:tr>
        <w:tc>
          <w:tcPr>
            <w:tcW w:type="dxa" w:w="5083"/>
            <w:vAlign w:val="top"/>
          </w:tcPr>
          <w:p>
            <w:pPr>
              <w:spacing w:after="0" w:before="0" w:line="240" w:lineRule="auto"/>
            </w:pPr>
            <w:r>
              <w:rPr>
                <w:sz w:val="16"/>
              </w:rPr>
              <w:t>pkg/cmp</w:t>
            </w:r>
          </w:p>
        </w:tc>
        <w:tc>
          <w:tcPr>
            <w:tcW w:type="dxa" w:w="5083"/>
            <w:vAlign w:val="top"/>
          </w:tcPr>
          <w:p>
            <w:pPr>
              <w:spacing w:after="0" w:before="0" w:line="240" w:lineRule="auto"/>
            </w:pPr>
            <w:r>
              <w:rPr>
                <w:sz w:val="16"/>
              </w:rPr>
              <w:t>typed clients, DTOs, auth, transport and errors</w:t>
            </w:r>
          </w:p>
        </w:tc>
      </w:tr>
      <w:tr>
        <w:tc>
          <w:tcPr>
            <w:tcW w:type="dxa" w:w="5083"/>
            <w:vAlign w:val="top"/>
          </w:tcPr>
          <w:p>
            <w:pPr>
              <w:spacing w:after="0" w:before="0" w:line="240" w:lineRule="auto"/>
            </w:pPr>
            <w:r>
              <w:rPr>
                <w:sz w:val="16"/>
              </w:rPr>
              <w:t>pkg/backend</w:t>
            </w:r>
          </w:p>
        </w:tc>
        <w:tc>
          <w:tcPr>
            <w:tcW w:type="dxa" w:w="5083"/>
            <w:vAlign w:val="top"/>
          </w:tcPr>
          <w:p>
            <w:pPr>
              <w:spacing w:after="0" w:before="0" w:line="240" w:lineRule="auto"/>
            </w:pPr>
            <w:r>
              <w:rPr>
                <w:sz w:val="16"/>
              </w:rPr>
              <w:t>EndpointSlice/node selection and CMP identity resolution</w:t>
            </w:r>
          </w:p>
        </w:tc>
      </w:tr>
      <w:tr>
        <w:tc>
          <w:tcPr>
            <w:tcW w:type="dxa" w:w="5083"/>
            <w:vAlign w:val="top"/>
          </w:tcPr>
          <w:p>
            <w:pPr>
              <w:spacing w:after="0" w:before="0" w:line="240" w:lineRule="auto"/>
            </w:pPr>
            <w:r>
              <w:rPr>
                <w:sz w:val="16"/>
              </w:rPr>
              <w:t>pkg/validation</w:t>
            </w:r>
          </w:p>
        </w:tc>
        <w:tc>
          <w:tcPr>
            <w:tcW w:type="dxa" w:w="5083"/>
            <w:vAlign w:val="top"/>
          </w:tcPr>
          <w:p>
            <w:pPr>
              <w:spacing w:after="0" w:before="0" w:line="240" w:lineRule="auto"/>
            </w:pPr>
            <w:r>
              <w:rPr>
                <w:sz w:val="16"/>
              </w:rPr>
              <w:t>shared and feature-specific validation</w:t>
            </w:r>
          </w:p>
        </w:tc>
      </w:tr>
      <w:tr>
        <w:tc>
          <w:tcPr>
            <w:tcW w:type="dxa" w:w="5083"/>
            <w:vAlign w:val="top"/>
          </w:tcPr>
          <w:p>
            <w:pPr>
              <w:spacing w:after="0" w:before="0" w:line="240" w:lineRule="auto"/>
            </w:pPr>
            <w:r>
              <w:rPr>
                <w:sz w:val="16"/>
              </w:rPr>
              <w:t>pkg/ownership</w:t>
            </w:r>
          </w:p>
        </w:tc>
        <w:tc>
          <w:tcPr>
            <w:tcW w:type="dxa" w:w="5083"/>
            <w:vAlign w:val="top"/>
          </w:tcPr>
          <w:p>
            <w:pPr>
              <w:spacing w:after="0" w:before="0" w:line="240" w:lineRule="auto"/>
            </w:pPr>
            <w:r>
              <w:rPr>
                <w:sz w:val="16"/>
              </w:rPr>
              <w:t>ownership envelope, naming, discovery filters</w:t>
            </w:r>
          </w:p>
        </w:tc>
      </w:tr>
      <w:tr>
        <w:tc>
          <w:tcPr>
            <w:tcW w:type="dxa" w:w="5083"/>
            <w:vAlign w:val="top"/>
          </w:tcPr>
          <w:p>
            <w:pPr>
              <w:spacing w:after="0" w:before="0" w:line="240" w:lineRule="auto"/>
            </w:pPr>
            <w:r>
              <w:rPr>
                <w:sz w:val="16"/>
              </w:rPr>
              <w:t>pkg/finalizers</w:t>
            </w:r>
          </w:p>
        </w:tc>
        <w:tc>
          <w:tcPr>
            <w:tcW w:type="dxa" w:w="5083"/>
            <w:vAlign w:val="top"/>
          </w:tcPr>
          <w:p>
            <w:pPr>
              <w:spacing w:after="0" w:before="0" w:line="240" w:lineRule="auto"/>
            </w:pPr>
            <w:r>
              <w:rPr>
                <w:sz w:val="16"/>
              </w:rPr>
              <w:t>Service and group finalizer helpers</w:t>
            </w:r>
          </w:p>
        </w:tc>
      </w:tr>
      <w:tr>
        <w:tc>
          <w:tcPr>
            <w:tcW w:type="dxa" w:w="5083"/>
            <w:vAlign w:val="top"/>
          </w:tcPr>
          <w:p>
            <w:pPr>
              <w:spacing w:after="0" w:before="0" w:line="240" w:lineRule="auto"/>
            </w:pPr>
            <w:r>
              <w:rPr>
                <w:sz w:val="16"/>
              </w:rPr>
              <w:t>pkg/status</w:t>
            </w:r>
          </w:p>
        </w:tc>
        <w:tc>
          <w:tcPr>
            <w:tcW w:type="dxa" w:w="5083"/>
            <w:vAlign w:val="top"/>
          </w:tcPr>
          <w:p>
            <w:pPr>
              <w:spacing w:after="0" w:before="0" w:line="240" w:lineRule="auto"/>
            </w:pPr>
            <w:r>
              <w:rPr>
                <w:sz w:val="16"/>
              </w:rPr>
              <w:t>Service/Ingress patch writers</w:t>
            </w:r>
          </w:p>
        </w:tc>
      </w:tr>
      <w:tr>
        <w:tc>
          <w:tcPr>
            <w:tcW w:type="dxa" w:w="5083"/>
            <w:vAlign w:val="top"/>
          </w:tcPr>
          <w:p>
            <w:pPr>
              <w:spacing w:after="0" w:before="0" w:line="240" w:lineRule="auto"/>
            </w:pPr>
            <w:r>
              <w:rPr>
                <w:sz w:val="16"/>
              </w:rPr>
              <w:t>pkg/metrics and pkg/events</w:t>
            </w:r>
          </w:p>
        </w:tc>
        <w:tc>
          <w:tcPr>
            <w:tcW w:type="dxa" w:w="5083"/>
            <w:vAlign w:val="top"/>
          </w:tcPr>
          <w:p>
            <w:pPr>
              <w:spacing w:after="0" w:before="0" w:line="240" w:lineRule="auto"/>
            </w:pPr>
            <w:r>
              <w:rPr>
                <w:sz w:val="16"/>
              </w:rPr>
              <w:t>observability contracts</w:t>
            </w:r>
          </w:p>
        </w:tc>
      </w:tr>
    </w:tbl>
    <w:p>
      <w:pPr>
        <w:pStyle w:val="Heading2"/>
      </w:pPr>
      <w:r>
        <w:t>20.1 Dependency rules</w:t>
      </w:r>
    </w:p>
    <w:p>
      <w:pPr>
        <w:pStyle w:val="CodeBlock"/>
      </w:pPr>
      <w:r>
        <w:t>controllers -&gt; service/ingress builders, deploy, status, finalizers</w:t>
        <w:br/>
        <w:t>service/ingress -&gt; model, validation, backend, ownership</w:t>
        <w:br/>
        <w:t>deploy -&gt; model, cmp, ownership</w:t>
        <w:br/>
        <w:t>backend -&gt; Kubernetes readers + compute/network clients</w:t>
        <w:br/>
        <w:t>cmp -&gt; transport/auth only</w:t>
        <w:br/>
        <w:t>model -&gt; no Kubernetes clients and no CMP clients</w:t>
      </w:r>
    </w:p>
    <w:p>
      <w:r>
        <w:br w:type="page"/>
      </w:r>
    </w:p>
    <w:p>
      <w:pPr>
        <w:pStyle w:val="Heading1"/>
      </w:pPr>
      <w:r>
        <w:t>21. Key Go Interfaces</w:t>
      </w:r>
    </w:p>
    <w:p>
      <w:pPr>
        <w:pStyle w:val="CodeBlock"/>
      </w:pPr>
      <w:r>
        <w:t>type ServiceModelBuilder interface {</w:t>
        <w:br/>
        <w:t xml:space="preserve">    Build(ctx context.Context, svc *corev1.Service) (model.Stack, BuildResult, error)</w:t>
        <w:br/>
        <w:t>}</w:t>
        <w:br/>
        <w:br/>
        <w:t>type IngressModelBuilder interface {</w:t>
        <w:br/>
        <w:t xml:space="preserve">    Build(ctx context.Context, group IngressGroup) (model.Stack, BuildResult, error)</w:t>
        <w:br/>
        <w:t>}</w:t>
        <w:br/>
        <w:br/>
        <w:t>type BackendResolver interface {</w:t>
        <w:br/>
        <w:t xml:space="preserve">    Resolve(ctx context.Context, request BackendResolutionRequest) ([]ResolvedBackend, error)</w:t>
        <w:br/>
        <w:t>}</w:t>
        <w:br/>
        <w:br/>
        <w:t>type OwnershipProvider interface {</w:t>
        <w:br/>
        <w:t xml:space="preserve">    ForObject(cluster ClusterIdentity, obj client.Object, role model.ResourceRole, stackKey string) model.Ownership</w:t>
        <w:br/>
        <w:t xml:space="preserve">    Matches(expected model.Ownership, observed cmp.Labels) bool</w:t>
        <w:br/>
        <w:t>}</w:t>
        <w:br/>
        <w:br/>
        <w:t>type StatusWriter interface {</w:t>
        <w:br/>
        <w:t xml:space="preserve">    WriteService(ctx context.Context, svc *corev1.Service, obs FrontendObservation) error</w:t>
        <w:br/>
        <w:t xml:space="preserve">    WriteIngresses(ctx context.Context, group IngressGroup, obs FrontendObservation) error</w:t>
        <w:br/>
        <w:t>}</w:t>
      </w:r>
    </w:p>
    <w:p>
      <w:r>
        <w:br w:type="page"/>
      </w:r>
    </w:p>
    <w:p>
      <w:pPr>
        <w:pStyle w:val="Heading1"/>
      </w:pPr>
      <w:r>
        <w:t>22. Architecture Decision Records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ADR</w:t>
            </w:r>
          </w:p>
        </w:tc>
        <w:tc>
          <w:tcPr>
            <w:tcW w:type="dxa" w:w="3389"/>
            <w:shd w:fill="D9EAF7"/>
            <w:vAlign w:val="center"/>
          </w:tcPr>
          <w:p>
            <w:pPr>
              <w:spacing w:after="0" w:before="0" w:line="240" w:lineRule="auto"/>
            </w:pPr>
            <w:r>
              <w:rPr>
                <w:sz w:val="16"/>
              </w:rPr>
              <w:t>Decision</w:t>
            </w:r>
          </w:p>
        </w:tc>
        <w:tc>
          <w:tcPr>
            <w:tcW w:type="dxa" w:w="3389"/>
            <w:shd w:fill="D9EAF7"/>
            <w:vAlign w:val="center"/>
          </w:tcPr>
          <w:p>
            <w:pPr>
              <w:spacing w:after="0" w:before="0" w:line="240" w:lineRule="auto"/>
            </w:pPr>
            <w:r>
              <w:rPr>
                <w:sz w:val="16"/>
              </w:rPr>
              <w:t>Rationale</w:t>
            </w:r>
          </w:p>
        </w:tc>
      </w:tr>
      <w:tr>
        <w:tc>
          <w:tcPr>
            <w:tcW w:type="dxa" w:w="3389"/>
            <w:vAlign w:val="top"/>
          </w:tcPr>
          <w:p>
            <w:pPr>
              <w:spacing w:after="0" w:before="0" w:line="240" w:lineRule="auto"/>
            </w:pPr>
            <w:r>
              <w:rPr>
                <w:sz w:val="16"/>
              </w:rPr>
              <w:t>ADR-02-01</w:t>
            </w:r>
          </w:p>
        </w:tc>
        <w:tc>
          <w:tcPr>
            <w:tcW w:type="dxa" w:w="3389"/>
            <w:vAlign w:val="top"/>
          </w:tcPr>
          <w:p>
            <w:pPr>
              <w:spacing w:after="0" w:before="0" w:line="240" w:lineRule="auto"/>
            </w:pPr>
            <w:r>
              <w:rPr>
                <w:sz w:val="16"/>
              </w:rPr>
              <w:t>Use separate Service and Ingress-group reconcilers</w:t>
            </w:r>
          </w:p>
        </w:tc>
        <w:tc>
          <w:tcPr>
            <w:tcW w:type="dxa" w:w="3389"/>
            <w:vAlign w:val="top"/>
          </w:tcPr>
          <w:p>
            <w:pPr>
              <w:spacing w:after="0" w:before="0" w:line="240" w:lineRule="auto"/>
            </w:pPr>
            <w:r>
              <w:rPr>
                <w:sz w:val="16"/>
              </w:rPr>
              <w:t>Ownership, watch graph and semantics differ</w:t>
            </w:r>
          </w:p>
        </w:tc>
      </w:tr>
      <w:tr>
        <w:tc>
          <w:tcPr>
            <w:tcW w:type="dxa" w:w="3389"/>
            <w:vAlign w:val="top"/>
          </w:tcPr>
          <w:p>
            <w:pPr>
              <w:spacing w:after="0" w:before="0" w:line="240" w:lineRule="auto"/>
            </w:pPr>
            <w:r>
              <w:rPr>
                <w:sz w:val="16"/>
              </w:rPr>
              <w:t>ADR-02-02</w:t>
            </w:r>
          </w:p>
        </w:tc>
        <w:tc>
          <w:tcPr>
            <w:tcW w:type="dxa" w:w="3389"/>
            <w:vAlign w:val="top"/>
          </w:tcPr>
          <w:p>
            <w:pPr>
              <w:spacing w:after="0" w:before="0" w:line="240" w:lineRule="auto"/>
            </w:pPr>
            <w:r>
              <w:rPr>
                <w:sz w:val="16"/>
              </w:rPr>
              <w:t>Build a complete internal stack before mutation</w:t>
            </w:r>
          </w:p>
        </w:tc>
        <w:tc>
          <w:tcPr>
            <w:tcW w:type="dxa" w:w="3389"/>
            <w:vAlign w:val="top"/>
          </w:tcPr>
          <w:p>
            <w:pPr>
              <w:spacing w:after="0" w:before="0" w:line="240" w:lineRule="auto"/>
            </w:pPr>
            <w:r>
              <w:rPr>
                <w:sz w:val="16"/>
              </w:rPr>
              <w:t>Enables validation, deterministic diff, testing and shared deployment</w:t>
            </w:r>
          </w:p>
        </w:tc>
      </w:tr>
      <w:tr>
        <w:tc>
          <w:tcPr>
            <w:tcW w:type="dxa" w:w="3389"/>
            <w:vAlign w:val="top"/>
          </w:tcPr>
          <w:p>
            <w:pPr>
              <w:spacing w:after="0" w:before="0" w:line="240" w:lineRule="auto"/>
            </w:pPr>
            <w:r>
              <w:rPr>
                <w:sz w:val="16"/>
              </w:rPr>
              <w:t>ADR-02-03</w:t>
            </w:r>
          </w:p>
        </w:tc>
        <w:tc>
          <w:tcPr>
            <w:tcW w:type="dxa" w:w="3389"/>
            <w:vAlign w:val="top"/>
          </w:tcPr>
          <w:p>
            <w:pPr>
              <w:spacing w:after="0" w:before="0" w:line="240" w:lineRule="auto"/>
            </w:pPr>
            <w:r>
              <w:rPr>
                <w:sz w:val="16"/>
              </w:rPr>
              <w:t>Use resource-specific deployment managers</w:t>
            </w:r>
          </w:p>
        </w:tc>
        <w:tc>
          <w:tcPr>
            <w:tcW w:type="dxa" w:w="3389"/>
            <w:vAlign w:val="top"/>
          </w:tcPr>
          <w:p>
            <w:pPr>
              <w:spacing w:after="0" w:before="0" w:line="240" w:lineRule="auto"/>
            </w:pPr>
            <w:r>
              <w:rPr>
                <w:sz w:val="16"/>
              </w:rPr>
              <w:t>CMP resources have different endpoints, dependencies and mutability</w:t>
            </w:r>
          </w:p>
        </w:tc>
      </w:tr>
      <w:tr>
        <w:tc>
          <w:tcPr>
            <w:tcW w:type="dxa" w:w="3389"/>
            <w:vAlign w:val="top"/>
          </w:tcPr>
          <w:p>
            <w:pPr>
              <w:spacing w:after="0" w:before="0" w:line="240" w:lineRule="auto"/>
            </w:pPr>
            <w:r>
              <w:rPr>
                <w:sz w:val="16"/>
              </w:rPr>
              <w:t>ADR-02-04</w:t>
            </w:r>
          </w:p>
        </w:tc>
        <w:tc>
          <w:tcPr>
            <w:tcW w:type="dxa" w:w="3389"/>
            <w:vAlign w:val="top"/>
          </w:tcPr>
          <w:p>
            <w:pPr>
              <w:spacing w:after="0" w:before="0" w:line="240" w:lineRule="auto"/>
            </w:pPr>
            <w:r>
              <w:rPr>
                <w:sz w:val="16"/>
              </w:rPr>
              <w:t>Use node/VM plus NodePort target mode initially</w:t>
            </w:r>
          </w:p>
        </w:tc>
        <w:tc>
          <w:tcPr>
            <w:tcW w:type="dxa" w:w="3389"/>
            <w:vAlign w:val="top"/>
          </w:tcPr>
          <w:p>
            <w:pPr>
              <w:spacing w:after="0" w:before="0" w:line="240" w:lineRule="auto"/>
            </w:pPr>
            <w:r>
              <w:rPr>
                <w:sz w:val="16"/>
              </w:rPr>
              <w:t>Matches CMP member identity needs and current reachable network model</w:t>
            </w:r>
          </w:p>
        </w:tc>
      </w:tr>
      <w:tr>
        <w:tc>
          <w:tcPr>
            <w:tcW w:type="dxa" w:w="3389"/>
            <w:vAlign w:val="top"/>
          </w:tcPr>
          <w:p>
            <w:pPr>
              <w:spacing w:after="0" w:before="0" w:line="240" w:lineRule="auto"/>
            </w:pPr>
            <w:r>
              <w:rPr>
                <w:sz w:val="16"/>
              </w:rPr>
              <w:t>ADR-02-05</w:t>
            </w:r>
          </w:p>
        </w:tc>
        <w:tc>
          <w:tcPr>
            <w:tcW w:type="dxa" w:w="3389"/>
            <w:vAlign w:val="top"/>
          </w:tcPr>
          <w:p>
            <w:pPr>
              <w:spacing w:after="0" w:before="0" w:line="240" w:lineRule="auto"/>
            </w:pPr>
            <w:r>
              <w:rPr>
                <w:sz w:val="16"/>
              </w:rPr>
              <w:t>Make ownership first-class</w:t>
            </w:r>
          </w:p>
        </w:tc>
        <w:tc>
          <w:tcPr>
            <w:tcW w:type="dxa" w:w="3389"/>
            <w:vAlign w:val="top"/>
          </w:tcPr>
          <w:p>
            <w:pPr>
              <w:spacing w:after="0" w:before="0" w:line="240" w:lineRule="auto"/>
            </w:pPr>
            <w:r>
              <w:rPr>
                <w:sz w:val="16"/>
              </w:rPr>
              <w:t>Safe adoption, update and deletion cannot rely on names</w:t>
            </w:r>
          </w:p>
        </w:tc>
      </w:tr>
      <w:tr>
        <w:tc>
          <w:tcPr>
            <w:tcW w:type="dxa" w:w="3389"/>
            <w:vAlign w:val="top"/>
          </w:tcPr>
          <w:p>
            <w:pPr>
              <w:spacing w:after="0" w:before="0" w:line="240" w:lineRule="auto"/>
            </w:pPr>
            <w:r>
              <w:rPr>
                <w:sz w:val="16"/>
              </w:rPr>
              <w:t>ADR-02-06</w:t>
            </w:r>
          </w:p>
        </w:tc>
        <w:tc>
          <w:tcPr>
            <w:tcW w:type="dxa" w:w="3389"/>
            <w:vAlign w:val="top"/>
          </w:tcPr>
          <w:p>
            <w:pPr>
              <w:spacing w:after="0" w:before="0" w:line="240" w:lineRule="auto"/>
            </w:pPr>
            <w:r>
              <w:rPr>
                <w:sz w:val="16"/>
              </w:rPr>
              <w:t>Do not persist internal model as CRDs</w:t>
            </w:r>
          </w:p>
        </w:tc>
        <w:tc>
          <w:tcPr>
            <w:tcW w:type="dxa" w:w="3389"/>
            <w:vAlign w:val="top"/>
          </w:tcPr>
          <w:p>
            <w:pPr>
              <w:spacing w:after="0" w:before="0" w:line="240" w:lineRule="auto"/>
            </w:pPr>
            <w:r>
              <w:rPr>
                <w:sz w:val="16"/>
              </w:rPr>
              <w:t>Kubernetes intent and CMP state are sufficient sources of truth</w:t>
            </w:r>
          </w:p>
        </w:tc>
      </w:tr>
      <w:tr>
        <w:tc>
          <w:tcPr>
            <w:tcW w:type="dxa" w:w="3389"/>
            <w:vAlign w:val="top"/>
          </w:tcPr>
          <w:p>
            <w:pPr>
              <w:spacing w:after="0" w:before="0" w:line="240" w:lineRule="auto"/>
            </w:pPr>
            <w:r>
              <w:rPr>
                <w:sz w:val="16"/>
              </w:rPr>
              <w:t>ADR-02-07</w:t>
            </w:r>
          </w:p>
        </w:tc>
        <w:tc>
          <w:tcPr>
            <w:tcW w:type="dxa" w:w="3389"/>
            <w:vAlign w:val="top"/>
          </w:tcPr>
          <w:p>
            <w:pPr>
              <w:spacing w:after="0" w:before="0" w:line="240" w:lineRule="auto"/>
            </w:pPr>
            <w:r>
              <w:rPr>
                <w:sz w:val="16"/>
              </w:rPr>
              <w:t>Treat current F5 code as integration reference only</w:t>
            </w:r>
          </w:p>
        </w:tc>
        <w:tc>
          <w:tcPr>
            <w:tcW w:type="dxa" w:w="3389"/>
            <w:vAlign w:val="top"/>
          </w:tcPr>
          <w:p>
            <w:pPr>
              <w:spacing w:after="0" w:before="0" w:line="240" w:lineRule="auto"/>
            </w:pPr>
            <w:r>
              <w:rPr>
                <w:sz w:val="16"/>
              </w:rPr>
              <w:t>Avoid inheriting unverified architecture</w:t>
            </w:r>
          </w:p>
        </w:tc>
      </w:tr>
      <w:tr>
        <w:tc>
          <w:tcPr>
            <w:tcW w:type="dxa" w:w="3389"/>
            <w:vAlign w:val="top"/>
          </w:tcPr>
          <w:p>
            <w:pPr>
              <w:spacing w:after="0" w:before="0" w:line="240" w:lineRule="auto"/>
            </w:pPr>
            <w:r>
              <w:rPr>
                <w:sz w:val="16"/>
              </w:rPr>
              <w:t>ADR-02-08</w:t>
            </w:r>
          </w:p>
        </w:tc>
        <w:tc>
          <w:tcPr>
            <w:tcW w:type="dxa" w:w="3389"/>
            <w:vAlign w:val="top"/>
          </w:tcPr>
          <w:p>
            <w:pPr>
              <w:spacing w:after="0" w:before="0" w:line="240" w:lineRule="auto"/>
            </w:pPr>
            <w:r>
              <w:rPr>
                <w:sz w:val="16"/>
              </w:rPr>
              <w:t>Use asynchronous readiness rather than synchronous long polling</w:t>
            </w:r>
          </w:p>
        </w:tc>
        <w:tc>
          <w:tcPr>
            <w:tcW w:type="dxa" w:w="3389"/>
            <w:vAlign w:val="top"/>
          </w:tcPr>
          <w:p>
            <w:pPr>
              <w:spacing w:after="0" w:before="0" w:line="240" w:lineRule="auto"/>
            </w:pPr>
            <w:r>
              <w:rPr>
                <w:sz w:val="16"/>
              </w:rPr>
              <w:t>Keeps reconciliation bounded and resilient</w:t>
            </w:r>
          </w:p>
        </w:tc>
      </w:tr>
      <w:tr>
        <w:tc>
          <w:tcPr>
            <w:tcW w:type="dxa" w:w="3389"/>
            <w:vAlign w:val="top"/>
          </w:tcPr>
          <w:p>
            <w:pPr>
              <w:spacing w:after="0" w:before="0" w:line="240" w:lineRule="auto"/>
            </w:pPr>
            <w:r>
              <w:rPr>
                <w:sz w:val="16"/>
              </w:rPr>
              <w:t>ADR-02-09</w:t>
            </w:r>
          </w:p>
        </w:tc>
        <w:tc>
          <w:tcPr>
            <w:tcW w:type="dxa" w:w="3389"/>
            <w:vAlign w:val="top"/>
          </w:tcPr>
          <w:p>
            <w:pPr>
              <w:spacing w:after="0" w:before="0" w:line="240" w:lineRule="auto"/>
            </w:pPr>
            <w:r>
              <w:rPr>
                <w:sz w:val="16"/>
              </w:rPr>
              <w:t>Share deployment/client foundations between Service and Ingress</w:t>
            </w:r>
          </w:p>
        </w:tc>
        <w:tc>
          <w:tcPr>
            <w:tcW w:type="dxa" w:w="3389"/>
            <w:vAlign w:val="top"/>
          </w:tcPr>
          <w:p>
            <w:pPr>
              <w:spacing w:after="0" w:before="0" w:line="240" w:lineRule="auto"/>
            </w:pPr>
            <w:r>
              <w:rPr>
                <w:sz w:val="16"/>
              </w:rPr>
              <w:t>Same provider resource hierarchy; avoids divergent behavior</w:t>
            </w:r>
          </w:p>
        </w:tc>
      </w:tr>
      <w:tr>
        <w:tc>
          <w:tcPr>
            <w:tcW w:type="dxa" w:w="3389"/>
            <w:vAlign w:val="top"/>
          </w:tcPr>
          <w:p>
            <w:pPr>
              <w:spacing w:after="0" w:before="0" w:line="240" w:lineRule="auto"/>
            </w:pPr>
            <w:r>
              <w:rPr>
                <w:sz w:val="16"/>
              </w:rPr>
              <w:t>ADR-02-10</w:t>
            </w:r>
          </w:p>
        </w:tc>
        <w:tc>
          <w:tcPr>
            <w:tcW w:type="dxa" w:w="3389"/>
            <w:vAlign w:val="top"/>
          </w:tcPr>
          <w:p>
            <w:pPr>
              <w:spacing w:after="0" w:before="0" w:line="240" w:lineRule="auto"/>
            </w:pPr>
            <w:r>
              <w:rPr>
                <w:sz w:val="16"/>
              </w:rPr>
              <w:t>Introduce shared VIP only through explicit group identity</w:t>
            </w:r>
          </w:p>
        </w:tc>
        <w:tc>
          <w:tcPr>
            <w:tcW w:type="dxa" w:w="3389"/>
            <w:vAlign w:val="top"/>
          </w:tcPr>
          <w:p>
            <w:pPr>
              <w:spacing w:after="0" w:before="0" w:line="240" w:lineRule="auto"/>
            </w:pPr>
            <w:r>
              <w:rPr>
                <w:sz w:val="16"/>
              </w:rPr>
              <w:t>Prevents accidental cross-owner coupling and unsafe deletion</w:t>
            </w:r>
          </w:p>
        </w:tc>
      </w:tr>
    </w:tbl>
    <w:p>
      <w:r>
        <w:br w:type="page"/>
      </w:r>
    </w:p>
    <w:p>
      <w:pPr>
        <w:pStyle w:val="Heading1"/>
      </w:pPr>
      <w:r>
        <w:t>23. Implementation Boundaries for Incremental Delivery</w:t>
      </w:r>
    </w:p>
    <w:p>
      <w:pPr>
        <w:spacing w:after="80"/>
      </w:pPr>
      <w:r>
        <w:t>The target architecture does not require a big-bang rewrite. It should be introduced through small vertical slices while preserving working CMP integration.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before="0" w:line="240" w:lineRule="auto"/>
            </w:pPr>
            <w:r>
              <w:rPr>
                <w:sz w:val="16"/>
              </w:rPr>
              <w:t>Slice</w:t>
            </w:r>
          </w:p>
        </w:tc>
        <w:tc>
          <w:tcPr>
            <w:tcW w:type="dxa" w:w="3389"/>
            <w:shd w:fill="D9EAF7"/>
            <w:vAlign w:val="center"/>
          </w:tcPr>
          <w:p>
            <w:pPr>
              <w:spacing w:after="0" w:before="0" w:line="240" w:lineRule="auto"/>
            </w:pPr>
            <w:r>
              <w:rPr>
                <w:sz w:val="16"/>
              </w:rPr>
              <w:t>Deliverable</w:t>
            </w:r>
          </w:p>
        </w:tc>
        <w:tc>
          <w:tcPr>
            <w:tcW w:type="dxa" w:w="3389"/>
            <w:shd w:fill="D9EAF7"/>
            <w:vAlign w:val="center"/>
          </w:tcPr>
          <w:p>
            <w:pPr>
              <w:spacing w:after="0" w:before="0" w:line="240" w:lineRule="auto"/>
            </w:pPr>
            <w:r>
              <w:rPr>
                <w:sz w:val="16"/>
              </w:rPr>
              <w:t>Exit criterion</w:t>
            </w:r>
          </w:p>
        </w:tc>
      </w:tr>
      <w:tr>
        <w:tc>
          <w:tcPr>
            <w:tcW w:type="dxa" w:w="3389"/>
            <w:vAlign w:val="top"/>
          </w:tcPr>
          <w:p>
            <w:pPr>
              <w:spacing w:after="0" w:before="0" w:line="240" w:lineRule="auto"/>
            </w:pPr>
            <w:r>
              <w:rPr>
                <w:sz w:val="16"/>
              </w:rPr>
              <w:t>1</w:t>
            </w:r>
          </w:p>
        </w:tc>
        <w:tc>
          <w:tcPr>
            <w:tcW w:type="dxa" w:w="3389"/>
            <w:vAlign w:val="top"/>
          </w:tcPr>
          <w:p>
            <w:pPr>
              <w:spacing w:after="0" w:before="0" w:line="240" w:lineRule="auto"/>
            </w:pPr>
            <w:r>
              <w:rPr>
                <w:sz w:val="16"/>
              </w:rPr>
              <w:t>Typed ownership and naming package</w:t>
            </w:r>
          </w:p>
        </w:tc>
        <w:tc>
          <w:tcPr>
            <w:tcW w:type="dxa" w:w="3389"/>
            <w:vAlign w:val="top"/>
          </w:tcPr>
          <w:p>
            <w:pPr>
              <w:spacing w:after="0" w:before="0" w:line="240" w:lineRule="auto"/>
            </w:pPr>
            <w:r>
              <w:rPr>
                <w:sz w:val="16"/>
              </w:rPr>
              <w:t>Unit-tested canonical metadata and matching</w:t>
            </w:r>
          </w:p>
        </w:tc>
      </w:tr>
      <w:tr>
        <w:tc>
          <w:tcPr>
            <w:tcW w:type="dxa" w:w="3389"/>
            <w:vAlign w:val="top"/>
          </w:tcPr>
          <w:p>
            <w:pPr>
              <w:spacing w:after="0" w:before="0" w:line="240" w:lineRule="auto"/>
            </w:pPr>
            <w:r>
              <w:rPr>
                <w:sz w:val="16"/>
              </w:rPr>
              <w:t>2</w:t>
            </w:r>
          </w:p>
        </w:tc>
        <w:tc>
          <w:tcPr>
            <w:tcW w:type="dxa" w:w="3389"/>
            <w:vAlign w:val="top"/>
          </w:tcPr>
          <w:p>
            <w:pPr>
              <w:spacing w:after="0" w:before="0" w:line="240" w:lineRule="auto"/>
            </w:pPr>
            <w:r>
              <w:rPr>
                <w:sz w:val="16"/>
              </w:rPr>
              <w:t>Typed CMP client facade around existing HTTP integration</w:t>
            </w:r>
          </w:p>
        </w:tc>
        <w:tc>
          <w:tcPr>
            <w:tcW w:type="dxa" w:w="3389"/>
            <w:vAlign w:val="top"/>
          </w:tcPr>
          <w:p>
            <w:pPr>
              <w:spacing w:after="0" w:before="0" w:line="240" w:lineRule="auto"/>
            </w:pPr>
            <w:r>
              <w:rPr>
                <w:sz w:val="16"/>
              </w:rPr>
              <w:t>No controller uses raw HTTP/JSON</w:t>
            </w:r>
          </w:p>
        </w:tc>
      </w:tr>
      <w:tr>
        <w:tc>
          <w:tcPr>
            <w:tcW w:type="dxa" w:w="3389"/>
            <w:vAlign w:val="top"/>
          </w:tcPr>
          <w:p>
            <w:pPr>
              <w:spacing w:after="0" w:before="0" w:line="240" w:lineRule="auto"/>
            </w:pPr>
            <w:r>
              <w:rPr>
                <w:sz w:val="16"/>
              </w:rPr>
              <w:t>3</w:t>
            </w:r>
          </w:p>
        </w:tc>
        <w:tc>
          <w:tcPr>
            <w:tcW w:type="dxa" w:w="3389"/>
            <w:vAlign w:val="top"/>
          </w:tcPr>
          <w:p>
            <w:pPr>
              <w:spacing w:after="0" w:before="0" w:line="240" w:lineRule="auto"/>
            </w:pPr>
            <w:r>
              <w:rPr>
                <w:sz w:val="16"/>
              </w:rPr>
              <w:t>Internal model primitives and LBService/VIP manager</w:t>
            </w:r>
          </w:p>
        </w:tc>
        <w:tc>
          <w:tcPr>
            <w:tcW w:type="dxa" w:w="3389"/>
            <w:vAlign w:val="top"/>
          </w:tcPr>
          <w:p>
            <w:pPr>
              <w:spacing w:after="0" w:before="0" w:line="240" w:lineRule="auto"/>
            </w:pPr>
            <w:r>
              <w:rPr>
                <w:sz w:val="16"/>
              </w:rPr>
              <w:t>Create/read/delete idempotency verified</w:t>
            </w:r>
          </w:p>
        </w:tc>
      </w:tr>
      <w:tr>
        <w:tc>
          <w:tcPr>
            <w:tcW w:type="dxa" w:w="3389"/>
            <w:vAlign w:val="top"/>
          </w:tcPr>
          <w:p>
            <w:pPr>
              <w:spacing w:after="0" w:before="0" w:line="240" w:lineRule="auto"/>
            </w:pPr>
            <w:r>
              <w:rPr>
                <w:sz w:val="16"/>
              </w:rPr>
              <w:t>4</w:t>
            </w:r>
          </w:p>
        </w:tc>
        <w:tc>
          <w:tcPr>
            <w:tcW w:type="dxa" w:w="3389"/>
            <w:vAlign w:val="top"/>
          </w:tcPr>
          <w:p>
            <w:pPr>
              <w:spacing w:after="0" w:before="0" w:line="240" w:lineRule="auto"/>
            </w:pPr>
            <w:r>
              <w:rPr>
                <w:sz w:val="16"/>
              </w:rPr>
              <w:t>Backend resolver with compute/network port lookup</w:t>
            </w:r>
          </w:p>
        </w:tc>
        <w:tc>
          <w:tcPr>
            <w:tcW w:type="dxa" w:w="3389"/>
            <w:vAlign w:val="top"/>
          </w:tcPr>
          <w:p>
            <w:pPr>
              <w:spacing w:after="0" w:before="0" w:line="240" w:lineRule="auto"/>
            </w:pPr>
            <w:r>
              <w:rPr>
                <w:sz w:val="16"/>
              </w:rPr>
              <w:t>Node -&gt; VM -&gt; backend_port_id integration test</w:t>
            </w:r>
          </w:p>
        </w:tc>
      </w:tr>
      <w:tr>
        <w:tc>
          <w:tcPr>
            <w:tcW w:type="dxa" w:w="3389"/>
            <w:vAlign w:val="top"/>
          </w:tcPr>
          <w:p>
            <w:pPr>
              <w:spacing w:after="0" w:before="0" w:line="240" w:lineRule="auto"/>
            </w:pPr>
            <w:r>
              <w:rPr>
                <w:sz w:val="16"/>
              </w:rPr>
              <w:t>5</w:t>
            </w:r>
          </w:p>
        </w:tc>
        <w:tc>
          <w:tcPr>
            <w:tcW w:type="dxa" w:w="3389"/>
            <w:vAlign w:val="top"/>
          </w:tcPr>
          <w:p>
            <w:pPr>
              <w:spacing w:after="0" w:before="0" w:line="240" w:lineRule="auto"/>
            </w:pPr>
            <w:r>
              <w:rPr>
                <w:sz w:val="16"/>
              </w:rPr>
              <w:t>Service model builder for one TCP port</w:t>
            </w:r>
          </w:p>
        </w:tc>
        <w:tc>
          <w:tcPr>
            <w:tcW w:type="dxa" w:w="3389"/>
            <w:vAlign w:val="top"/>
          </w:tcPr>
          <w:p>
            <w:pPr>
              <w:spacing w:after="0" w:before="0" w:line="240" w:lineRule="auto"/>
            </w:pPr>
            <w:r>
              <w:rPr>
                <w:sz w:val="16"/>
              </w:rPr>
              <w:t>Desired stack unit tests</w:t>
            </w:r>
          </w:p>
        </w:tc>
      </w:tr>
      <w:tr>
        <w:tc>
          <w:tcPr>
            <w:tcW w:type="dxa" w:w="3389"/>
            <w:vAlign w:val="top"/>
          </w:tcPr>
          <w:p>
            <w:pPr>
              <w:spacing w:after="0" w:before="0" w:line="240" w:lineRule="auto"/>
            </w:pPr>
            <w:r>
              <w:rPr>
                <w:sz w:val="16"/>
              </w:rPr>
              <w:t>6</w:t>
            </w:r>
          </w:p>
        </w:tc>
        <w:tc>
          <w:tcPr>
            <w:tcW w:type="dxa" w:w="3389"/>
            <w:vAlign w:val="top"/>
          </w:tcPr>
          <w:p>
            <w:pPr>
              <w:spacing w:after="0" w:before="0" w:line="240" w:lineRule="auto"/>
            </w:pPr>
            <w:r>
              <w:rPr>
                <w:sz w:val="16"/>
              </w:rPr>
              <w:t>Stack deployer and Service controller integration</w:t>
            </w:r>
          </w:p>
        </w:tc>
        <w:tc>
          <w:tcPr>
            <w:tcW w:type="dxa" w:w="3389"/>
            <w:vAlign w:val="top"/>
          </w:tcPr>
          <w:p>
            <w:pPr>
              <w:spacing w:after="0" w:before="0" w:line="240" w:lineRule="auto"/>
            </w:pPr>
            <w:r>
              <w:rPr>
                <w:sz w:val="16"/>
              </w:rPr>
              <w:t>Single-port Service converges and cleans up</w:t>
            </w:r>
          </w:p>
        </w:tc>
      </w:tr>
      <w:tr>
        <w:tc>
          <w:tcPr>
            <w:tcW w:type="dxa" w:w="3389"/>
            <w:vAlign w:val="top"/>
          </w:tcPr>
          <w:p>
            <w:pPr>
              <w:spacing w:after="0" w:before="0" w:line="240" w:lineRule="auto"/>
            </w:pPr>
            <w:r>
              <w:rPr>
                <w:sz w:val="16"/>
              </w:rPr>
              <w:t>7</w:t>
            </w:r>
          </w:p>
        </w:tc>
        <w:tc>
          <w:tcPr>
            <w:tcW w:type="dxa" w:w="3389"/>
            <w:vAlign w:val="top"/>
          </w:tcPr>
          <w:p>
            <w:pPr>
              <w:spacing w:after="0" w:before="0" w:line="240" w:lineRule="auto"/>
            </w:pPr>
            <w:r>
              <w:rPr>
                <w:sz w:val="16"/>
              </w:rPr>
              <w:t>Pool/member diff; multi-port support</w:t>
            </w:r>
          </w:p>
        </w:tc>
        <w:tc>
          <w:tcPr>
            <w:tcW w:type="dxa" w:w="3389"/>
            <w:vAlign w:val="top"/>
          </w:tcPr>
          <w:p>
            <w:pPr>
              <w:spacing w:after="0" w:before="0" w:line="240" w:lineRule="auto"/>
            </w:pPr>
            <w:r>
              <w:rPr>
                <w:sz w:val="16"/>
              </w:rPr>
              <w:t>Scale and node replacement do not recreate frontend</w:t>
            </w:r>
          </w:p>
        </w:tc>
      </w:tr>
      <w:tr>
        <w:tc>
          <w:tcPr>
            <w:tcW w:type="dxa" w:w="3389"/>
            <w:vAlign w:val="top"/>
          </w:tcPr>
          <w:p>
            <w:pPr>
              <w:spacing w:after="0" w:before="0" w:line="240" w:lineRule="auto"/>
            </w:pPr>
            <w:r>
              <w:rPr>
                <w:sz w:val="16"/>
              </w:rPr>
              <w:t>8</w:t>
            </w:r>
          </w:p>
        </w:tc>
        <w:tc>
          <w:tcPr>
            <w:tcW w:type="dxa" w:w="3389"/>
            <w:vAlign w:val="top"/>
          </w:tcPr>
          <w:p>
            <w:pPr>
              <w:spacing w:after="0" w:before="0" w:line="240" w:lineRule="auto"/>
            </w:pPr>
            <w:r>
              <w:rPr>
                <w:sz w:val="16"/>
              </w:rPr>
              <w:t>Ingress builder and routing rules</w:t>
            </w:r>
          </w:p>
        </w:tc>
        <w:tc>
          <w:tcPr>
            <w:tcW w:type="dxa" w:w="3389"/>
            <w:vAlign w:val="top"/>
          </w:tcPr>
          <w:p>
            <w:pPr>
              <w:spacing w:after="0" w:before="0" w:line="240" w:lineRule="auto"/>
            </w:pPr>
            <w:r>
              <w:rPr>
                <w:sz w:val="16"/>
              </w:rPr>
              <w:t>Host/path routing verified against CMP</w:t>
            </w:r>
          </w:p>
        </w:tc>
      </w:tr>
      <w:tr>
        <w:tc>
          <w:tcPr>
            <w:tcW w:type="dxa" w:w="3389"/>
            <w:vAlign w:val="top"/>
          </w:tcPr>
          <w:p>
            <w:pPr>
              <w:spacing w:after="0" w:before="0" w:line="240" w:lineRule="auto"/>
            </w:pPr>
            <w:r>
              <w:rPr>
                <w:sz w:val="16"/>
              </w:rPr>
              <w:t>9</w:t>
            </w:r>
          </w:p>
        </w:tc>
        <w:tc>
          <w:tcPr>
            <w:tcW w:type="dxa" w:w="3389"/>
            <w:vAlign w:val="top"/>
          </w:tcPr>
          <w:p>
            <w:pPr>
              <w:spacing w:after="0" w:before="0" w:line="240" w:lineRule="auto"/>
            </w:pPr>
            <w:r>
              <w:rPr>
                <w:sz w:val="16"/>
              </w:rPr>
              <w:t>Certificates, monitors and advanced policy</w:t>
            </w:r>
          </w:p>
        </w:tc>
        <w:tc>
          <w:tcPr>
            <w:tcW w:type="dxa" w:w="3389"/>
            <w:vAlign w:val="top"/>
          </w:tcPr>
          <w:p>
            <w:pPr>
              <w:spacing w:after="0" w:before="0" w:line="240" w:lineRule="auto"/>
            </w:pPr>
            <w:r>
              <w:rPr>
                <w:sz w:val="16"/>
              </w:rPr>
              <w:t>Capability-gated features</w:t>
            </w:r>
          </w:p>
        </w:tc>
      </w:tr>
      <w:tr>
        <w:tc>
          <w:tcPr>
            <w:tcW w:type="dxa" w:w="3389"/>
            <w:vAlign w:val="top"/>
          </w:tcPr>
          <w:p>
            <w:pPr>
              <w:spacing w:after="0" w:before="0" w:line="240" w:lineRule="auto"/>
            </w:pPr>
            <w:r>
              <w:rPr>
                <w:sz w:val="16"/>
              </w:rPr>
              <w:t>10</w:t>
            </w:r>
          </w:p>
        </w:tc>
        <w:tc>
          <w:tcPr>
            <w:tcW w:type="dxa" w:w="3389"/>
            <w:vAlign w:val="top"/>
          </w:tcPr>
          <w:p>
            <w:pPr>
              <w:spacing w:after="0" w:before="0" w:line="240" w:lineRule="auto"/>
            </w:pPr>
            <w:r>
              <w:rPr>
                <w:sz w:val="16"/>
              </w:rPr>
              <w:t>Migration/adoption and production hardening</w:t>
            </w:r>
          </w:p>
        </w:tc>
        <w:tc>
          <w:tcPr>
            <w:tcW w:type="dxa" w:w="3389"/>
            <w:vAlign w:val="top"/>
          </w:tcPr>
          <w:p>
            <w:pPr>
              <w:spacing w:after="0" w:before="0" w:line="240" w:lineRule="auto"/>
            </w:pPr>
            <w:r>
              <w:rPr>
                <w:sz w:val="16"/>
              </w:rPr>
              <w:t>Restart, duplicate event, partial failure and HA tests</w:t>
            </w:r>
          </w:p>
        </w:tc>
      </w:tr>
    </w:tbl>
    <w:p>
      <w:r>
        <w:br w:type="page"/>
      </w:r>
    </w:p>
    <w:p>
      <w:pPr>
        <w:pStyle w:val="Heading1"/>
      </w:pPr>
      <w:r>
        <w:t>24. Design Invariants</w:t>
      </w:r>
    </w:p>
    <w:p>
      <w:pPr>
        <w:spacing w:after="80"/>
      </w:pPr>
      <w:r>
        <w:t>1. A controller restart does not lose ownership or require in-memory recovery state.</w:t>
      </w:r>
    </w:p>
    <w:p>
      <w:pPr>
        <w:spacing w:after="80"/>
      </w:pPr>
      <w:r>
        <w:t>2. No CMP resource is mutated or deleted unless ownership and provider scope are verified.</w:t>
      </w:r>
    </w:p>
    <w:p>
      <w:pPr>
        <w:spacing w:after="80"/>
      </w:pPr>
      <w:r>
        <w:t>3. Backend resource IDs and backend_port_id values are returned by CMP lookup APIs, never synthesized.</w:t>
      </w:r>
    </w:p>
    <w:p>
      <w:pPr>
        <w:spacing w:after="80"/>
      </w:pPr>
      <w:r>
        <w:t>4. A member removal cannot delete a VM or network port.</w:t>
      </w:r>
    </w:p>
    <w:p>
      <w:pPr>
        <w:spacing w:after="80"/>
      </w:pPr>
      <w:r>
        <w:t>5. An EndpointSlice or node change reconciles members without recreating unchanged VIPs or Virtual Servers.</w:t>
      </w:r>
    </w:p>
    <w:p>
      <w:pPr>
        <w:spacing w:after="80"/>
      </w:pPr>
      <w:r>
        <w:t>6. Service and Ingress builders share model/deployment contracts but not Kubernetes-specific semantics.</w:t>
      </w:r>
    </w:p>
    <w:p>
      <w:pPr>
        <w:spacing w:after="80"/>
      </w:pPr>
      <w:r>
        <w:t>7. Raw CMP JSON and HTTP status handling remain inside pkg/cmp.</w:t>
      </w:r>
    </w:p>
    <w:p>
      <w:pPr>
        <w:spacing w:after="80"/>
      </w:pPr>
      <w:r>
        <w:t>8. A finalizer is removed only after mandatory owned external resources are verified absent.</w:t>
      </w:r>
    </w:p>
    <w:p>
      <w:pPr>
        <w:spacing w:after="80"/>
      </w:pPr>
      <w:r>
        <w:t>9. Logical IDs are deterministic and independent from provider-generated IDs.</w:t>
      </w:r>
    </w:p>
    <w:p>
      <w:pPr>
        <w:spacing w:after="80"/>
      </w:pPr>
      <w:r>
        <w:t>10. Unsupported Kubernetes semantics fail explicitly before provider mutation.</w:t>
      </w:r>
    </w:p>
    <w:p>
      <w:pPr>
        <w:spacing w:after="80"/>
      </w:pPr>
      <w:r>
        <w:t>11. Every provider call is context-bound, time-limited and observable.</w:t>
      </w:r>
    </w:p>
    <w:p>
      <w:pPr>
        <w:spacing w:after="80"/>
      </w:pPr>
      <w:r>
        <w:t>12. The desired-state model remains acyclic and complete for the reconciliation key.</w:t>
      </w:r>
    </w:p>
    <w:p>
      <w:r>
        <w:br w:type="page"/>
      </w:r>
    </w:p>
    <w:p>
      <w:pPr>
        <w:pStyle w:val="Heading1"/>
      </w:pPr>
      <w:r>
        <w:t>25. Part 2 Completion and Handoff</w:t>
      </w:r>
    </w:p>
    <w:p>
      <w:pPr>
        <w:spacing w:after="80"/>
      </w:pPr>
      <w:r>
        <w:t>This document establishes the fixed component and internal-model foundation. Part 3 applies these contracts to the complete Service type=LoadBalancer design, including claim rules, port expansion, traffic policy, endpoint/node eligibility, backend weighting, status publication, update behavior, deletion, and Service-specific sequence/activity diagrams. Part 4 then applies the same architecture to Ingress grouping, routing rules and TLS.</w:t>
      </w:r>
    </w:p>
    <w:p>
      <w:pPr>
        <w:pStyle w:val="Heading1"/>
      </w:pPr>
      <w:r>
        <w:t>Appendix A - CMP Endpoint Mapping Used by the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before="0" w:line="240" w:lineRule="auto"/>
            </w:pPr>
            <w:r>
              <w:rPr>
                <w:sz w:val="16"/>
              </w:rPr>
              <w:t>Model resource</w:t>
            </w:r>
          </w:p>
        </w:tc>
        <w:tc>
          <w:tcPr>
            <w:tcW w:type="dxa" w:w="5083"/>
            <w:shd w:fill="D9EAF7"/>
            <w:vAlign w:val="center"/>
          </w:tcPr>
          <w:p>
            <w:pPr>
              <w:spacing w:after="0" w:before="0" w:line="240" w:lineRule="auto"/>
            </w:pPr>
            <w:r>
              <w:rPr>
                <w:sz w:val="16"/>
              </w:rPr>
              <w:t>CMP endpoint pattern</w:t>
            </w:r>
          </w:p>
        </w:tc>
      </w:tr>
      <w:tr>
        <w:tc>
          <w:tcPr>
            <w:tcW w:type="dxa" w:w="5083"/>
            <w:vAlign w:val="top"/>
          </w:tcPr>
          <w:p>
            <w:pPr>
              <w:spacing w:after="0" w:before="0" w:line="240" w:lineRule="auto"/>
            </w:pPr>
            <w:r>
              <w:rPr>
                <w:sz w:val="16"/>
              </w:rPr>
              <w:t>LB Service</w:t>
            </w:r>
          </w:p>
        </w:tc>
        <w:tc>
          <w:tcPr>
            <w:tcW w:type="dxa" w:w="5083"/>
            <w:vAlign w:val="top"/>
          </w:tcPr>
          <w:p>
            <w:pPr>
              <w:spacing w:after="0" w:before="0" w:line="240" w:lineRule="auto"/>
            </w:pPr>
            <w:r>
              <w:rPr>
                <w:sz w:val="16"/>
              </w:rPr>
              <w:t>/load-balancers/.../load-balancers/lb_service/</w:t>
            </w:r>
          </w:p>
        </w:tc>
      </w:tr>
      <w:tr>
        <w:tc>
          <w:tcPr>
            <w:tcW w:type="dxa" w:w="5083"/>
            <w:vAlign w:val="top"/>
          </w:tcPr>
          <w:p>
            <w:pPr>
              <w:spacing w:after="0" w:before="0" w:line="240" w:lineRule="auto"/>
            </w:pPr>
            <w:r>
              <w:rPr>
                <w:sz w:val="16"/>
              </w:rPr>
              <w:t>VIP</w:t>
            </w:r>
          </w:p>
        </w:tc>
        <w:tc>
          <w:tcPr>
            <w:tcW w:type="dxa" w:w="5083"/>
            <w:vAlign w:val="top"/>
          </w:tcPr>
          <w:p>
            <w:pPr>
              <w:spacing w:after="0" w:before="0" w:line="240" w:lineRule="auto"/>
            </w:pPr>
            <w:r>
              <w:rPr>
                <w:sz w:val="16"/>
              </w:rPr>
              <w:t>.../lb_service/{lb_service_id}/vip</w:t>
            </w:r>
          </w:p>
        </w:tc>
      </w:tr>
      <w:tr>
        <w:tc>
          <w:tcPr>
            <w:tcW w:type="dxa" w:w="5083"/>
            <w:vAlign w:val="top"/>
          </w:tcPr>
          <w:p>
            <w:pPr>
              <w:spacing w:after="0" w:before="0" w:line="240" w:lineRule="auto"/>
            </w:pPr>
            <w:r>
              <w:rPr>
                <w:sz w:val="16"/>
              </w:rPr>
              <w:t>Virtual Server</w:t>
            </w:r>
          </w:p>
        </w:tc>
        <w:tc>
          <w:tcPr>
            <w:tcW w:type="dxa" w:w="5083"/>
            <w:vAlign w:val="top"/>
          </w:tcPr>
          <w:p>
            <w:pPr>
              <w:spacing w:after="0" w:before="0" w:line="240" w:lineRule="auto"/>
            </w:pPr>
            <w:r>
              <w:rPr>
                <w:sz w:val="16"/>
              </w:rPr>
              <w:t>.../load-balancers/{lb_service_id}/virtual-servers</w:t>
            </w:r>
          </w:p>
        </w:tc>
      </w:tr>
      <w:tr>
        <w:tc>
          <w:tcPr>
            <w:tcW w:type="dxa" w:w="5083"/>
            <w:vAlign w:val="top"/>
          </w:tcPr>
          <w:p>
            <w:pPr>
              <w:spacing w:after="0" w:before="0" w:line="240" w:lineRule="auto"/>
            </w:pPr>
            <w:r>
              <w:rPr>
                <w:sz w:val="16"/>
              </w:rPr>
              <w:t>Routing Rule</w:t>
            </w:r>
          </w:p>
        </w:tc>
        <w:tc>
          <w:tcPr>
            <w:tcW w:type="dxa" w:w="5083"/>
            <w:vAlign w:val="top"/>
          </w:tcPr>
          <w:p>
            <w:pPr>
              <w:spacing w:after="0" w:before="0" w:line="240" w:lineRule="auto"/>
            </w:pPr>
            <w:r>
              <w:rPr>
                <w:sz w:val="16"/>
              </w:rPr>
              <w:t>.../lb_service/{lb_service_id}/virtual-servers/{virtual_server_id}/routing-rules</w:t>
            </w:r>
          </w:p>
        </w:tc>
      </w:tr>
      <w:tr>
        <w:tc>
          <w:tcPr>
            <w:tcW w:type="dxa" w:w="5083"/>
            <w:vAlign w:val="top"/>
          </w:tcPr>
          <w:p>
            <w:pPr>
              <w:spacing w:after="0" w:before="0" w:line="240" w:lineRule="auto"/>
            </w:pPr>
            <w:r>
              <w:rPr>
                <w:sz w:val="16"/>
              </w:rPr>
              <w:t>Pool</w:t>
            </w:r>
          </w:p>
        </w:tc>
        <w:tc>
          <w:tcPr>
            <w:tcW w:type="dxa" w:w="5083"/>
            <w:vAlign w:val="top"/>
          </w:tcPr>
          <w:p>
            <w:pPr>
              <w:spacing w:after="0" w:before="0" w:line="240" w:lineRule="auto"/>
            </w:pPr>
            <w:r>
              <w:rPr>
                <w:sz w:val="16"/>
              </w:rPr>
              <w:t>.../virtual-servers/{virtual_server_id}/pools</w:t>
            </w:r>
          </w:p>
        </w:tc>
      </w:tr>
      <w:tr>
        <w:tc>
          <w:tcPr>
            <w:tcW w:type="dxa" w:w="5083"/>
            <w:vAlign w:val="top"/>
          </w:tcPr>
          <w:p>
            <w:pPr>
              <w:spacing w:after="0" w:before="0" w:line="240" w:lineRule="auto"/>
            </w:pPr>
            <w:r>
              <w:rPr>
                <w:sz w:val="16"/>
              </w:rPr>
              <w:t>Member</w:t>
            </w:r>
          </w:p>
        </w:tc>
        <w:tc>
          <w:tcPr>
            <w:tcW w:type="dxa" w:w="5083"/>
            <w:vAlign w:val="top"/>
          </w:tcPr>
          <w:p>
            <w:pPr>
              <w:spacing w:after="0" w:before="0" w:line="240" w:lineRule="auto"/>
            </w:pPr>
            <w:r>
              <w:rPr>
                <w:sz w:val="16"/>
              </w:rPr>
              <w:t>.../pools/{virtual_server_pool_id}/members</w:t>
            </w:r>
          </w:p>
        </w:tc>
      </w:tr>
      <w:tr>
        <w:tc>
          <w:tcPr>
            <w:tcW w:type="dxa" w:w="5083"/>
            <w:vAlign w:val="top"/>
          </w:tcPr>
          <w:p>
            <w:pPr>
              <w:spacing w:after="0" w:before="0" w:line="240" w:lineRule="auto"/>
            </w:pPr>
            <w:r>
              <w:rPr>
                <w:sz w:val="16"/>
              </w:rPr>
              <w:t>Monitor</w:t>
            </w:r>
          </w:p>
        </w:tc>
        <w:tc>
          <w:tcPr>
            <w:tcW w:type="dxa" w:w="5083"/>
            <w:vAlign w:val="top"/>
          </w:tcPr>
          <w:p>
            <w:pPr>
              <w:spacing w:after="0" w:before="0" w:line="240" w:lineRule="auto"/>
            </w:pPr>
            <w:r>
              <w:rPr>
                <w:sz w:val="16"/>
              </w:rPr>
              <w:t>.../pools/{virtual_server_pool_id}/monitors</w:t>
            </w:r>
          </w:p>
        </w:tc>
      </w:tr>
      <w:tr>
        <w:tc>
          <w:tcPr>
            <w:tcW w:type="dxa" w:w="5083"/>
            <w:vAlign w:val="top"/>
          </w:tcPr>
          <w:p>
            <w:pPr>
              <w:spacing w:after="0" w:before="0" w:line="240" w:lineRule="auto"/>
            </w:pPr>
            <w:r>
              <w:rPr>
                <w:sz w:val="16"/>
              </w:rPr>
              <w:t>Default pool</w:t>
            </w:r>
          </w:p>
        </w:tc>
        <w:tc>
          <w:tcPr>
            <w:tcW w:type="dxa" w:w="5083"/>
            <w:vAlign w:val="top"/>
          </w:tcPr>
          <w:p>
            <w:pPr>
              <w:spacing w:after="0" w:before="0" w:line="240" w:lineRule="auto"/>
            </w:pPr>
            <w:r>
              <w:rPr>
                <w:sz w:val="16"/>
              </w:rPr>
              <w:t>.../pools/{virtual_server_pool_id}/set-default</w:t>
            </w:r>
          </w:p>
        </w:tc>
      </w:tr>
      <w:tr>
        <w:tc>
          <w:tcPr>
            <w:tcW w:type="dxa" w:w="5083"/>
            <w:vAlign w:val="top"/>
          </w:tcPr>
          <w:p>
            <w:pPr>
              <w:spacing w:after="0" w:before="0" w:line="240" w:lineRule="auto"/>
            </w:pPr>
            <w:r>
              <w:rPr>
                <w:sz w:val="16"/>
              </w:rPr>
              <w:t>Virtual-server certificates</w:t>
            </w:r>
          </w:p>
        </w:tc>
        <w:tc>
          <w:tcPr>
            <w:tcW w:type="dxa" w:w="5083"/>
            <w:vAlign w:val="top"/>
          </w:tcPr>
          <w:p>
            <w:pPr>
              <w:spacing w:after="0" w:before="0" w:line="240" w:lineRule="auto"/>
            </w:pPr>
            <w:r>
              <w:rPr>
                <w:sz w:val="16"/>
              </w:rPr>
              <w:t>.../virtual-servers/{virtual_server_id}/certificates/</w:t>
            </w:r>
          </w:p>
        </w:tc>
      </w:tr>
      <w:tr>
        <w:tc>
          <w:tcPr>
            <w:tcW w:type="dxa" w:w="5083"/>
            <w:vAlign w:val="top"/>
          </w:tcPr>
          <w:p>
            <w:pPr>
              <w:spacing w:after="0" w:before="0" w:line="240" w:lineRule="auto"/>
            </w:pPr>
            <w:r>
              <w:rPr>
                <w:sz w:val="16"/>
              </w:rPr>
              <w:t>Network port lookup</w:t>
            </w:r>
          </w:p>
        </w:tc>
        <w:tc>
          <w:tcPr>
            <w:tcW w:type="dxa" w:w="5083"/>
            <w:vAlign w:val="top"/>
          </w:tcPr>
          <w:p>
            <w:pPr>
              <w:spacing w:after="0" w:before="0" w:line="240" w:lineRule="auto"/>
            </w:pPr>
            <w:r>
              <w:rPr>
                <w:sz w:val="16"/>
              </w:rPr>
              <w:t>/networks/.../networks/ports/search-by-ip/ and network port inventory</w:t>
            </w:r>
          </w:p>
        </w:tc>
      </w:tr>
      <w:tr>
        <w:tc>
          <w:tcPr>
            <w:tcW w:type="dxa" w:w="5083"/>
            <w:vAlign w:val="top"/>
          </w:tcPr>
          <w:p>
            <w:pPr>
              <w:spacing w:after="0" w:before="0" w:line="240" w:lineRule="auto"/>
            </w:pPr>
            <w:r>
              <w:rPr>
                <w:sz w:val="16"/>
              </w:rPr>
              <w:t>Certificate inventory</w:t>
            </w:r>
          </w:p>
        </w:tc>
        <w:tc>
          <w:tcPr>
            <w:tcW w:type="dxa" w:w="5083"/>
            <w:vAlign w:val="top"/>
          </w:tcPr>
          <w:p>
            <w:pPr>
              <w:spacing w:after="0" w:before="0" w:line="240" w:lineRule="auto"/>
            </w:pPr>
            <w:r>
              <w:rPr>
                <w:sz w:val="16"/>
              </w:rPr>
              <w:t>/certificates/domain/{organization_id}/project/{project_id}/certificates/</w:t>
            </w:r>
          </w:p>
        </w:tc>
      </w:tr>
    </w:tbl>
    <w:p>
      <w:pPr>
        <w:pStyle w:val="Heading1"/>
      </w:pPr>
      <w:r>
        <w:t>Appendix B - Traceability to Previous LLD</w:t>
      </w:r>
    </w:p>
    <w:p>
      <w:pPr>
        <w:spacing w:after="80"/>
      </w:pPr>
      <w:r>
        <w:t>The following valid concepts from the previous LLD are retained and refined: thin controllers, builders, desired-state graph, typed clients, ownership, finalizers, backend selection, Node-to-VM mapping, backend_port_id, LB Service, VIP, Virtual Server, pools, members, monitors, routing rules, status, idempotency, deletion ordering, restart recovery, observability, security and incremental implementation. Statements about the correctness or limitations of the current implementation are intentionally excluded from the target design.</w:t>
      </w:r>
    </w:p>
    <w:sectPr w:rsidR="00FC693F" w:rsidRPr="0006063C" w:rsidSect="00034616">
      <w:headerReference w:type="default" r:id="rId18"/>
      <w:footerReference w:type="default" r:id="rId1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and Low-Level Design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Gardener F5 ALB Extension -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B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Gardener F5 ALB Extension - Part 2</dc:title>
  <dc:subject>Component Architecture and Internal Desired-State Model</dc:subject>
  <dc:creator>Architecture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