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2B10" w14:textId="3DF979A5" w:rsidR="004377E8" w:rsidRDefault="009413BF">
      <w:r w:rsidRPr="009413BF">
        <w:t>Decentralized intrusion detection systems use traditional, machine learning, or hybrid techniques; traditional methods have low scalability, while machine learning and deep learning methods provide higher attack detection accuracy (Jaradat et al., 2022; Sun et al., 2020). Federated learning allows decentralized learning without the need for central aggregation (</w:t>
      </w:r>
      <w:proofErr w:type="spellStart"/>
      <w:r w:rsidRPr="009413BF">
        <w:t>Buyuktanir</w:t>
      </w:r>
      <w:proofErr w:type="spellEnd"/>
      <w:r w:rsidRPr="009413BF">
        <w:t xml:space="preserve"> et al., 2025; Karunamurthy et al., 2025). Hybrid systems are more accurate (</w:t>
      </w:r>
      <w:proofErr w:type="spellStart"/>
      <w:r w:rsidRPr="009413BF">
        <w:t>Doost</w:t>
      </w:r>
      <w:proofErr w:type="spellEnd"/>
      <w:r w:rsidRPr="009413BF">
        <w:t xml:space="preserve"> et al., 2025); besides, the scalability is increased by hierarchical models (Zhong et al., 2020) and quantum learning (Kalinin &amp; Krundyshev, 2022). Deep learning is superior to hybrid architectures (Orman, 2025), whereas ensemble methods have shown their limitations (</w:t>
      </w:r>
      <w:proofErr w:type="spellStart"/>
      <w:r w:rsidRPr="009413BF">
        <w:t>Makhdoomi</w:t>
      </w:r>
      <w:proofErr w:type="spellEnd"/>
      <w:r w:rsidRPr="009413BF">
        <w:t xml:space="preserve"> et al., 2025). A comparative summary is presented in Table 1.</w:t>
      </w:r>
    </w:p>
    <w:p w14:paraId="1F2026CF" w14:textId="77777777" w:rsidR="009413BF" w:rsidRDefault="009413BF"/>
    <w:tbl>
      <w:tblPr>
        <w:tblStyle w:val="TableGrid"/>
        <w:tblW w:w="9030" w:type="dxa"/>
        <w:tblLook w:val="04A0" w:firstRow="1" w:lastRow="0" w:firstColumn="1" w:lastColumn="0" w:noHBand="0" w:noVBand="1"/>
      </w:tblPr>
      <w:tblGrid>
        <w:gridCol w:w="2118"/>
        <w:gridCol w:w="1729"/>
        <w:gridCol w:w="1649"/>
        <w:gridCol w:w="1767"/>
        <w:gridCol w:w="1767"/>
      </w:tblGrid>
      <w:tr w:rsidR="009413BF" w:rsidRPr="009413BF" w14:paraId="7560EA91" w14:textId="77777777">
        <w:tc>
          <w:tcPr>
            <w:tcW w:w="0" w:type="auto"/>
            <w:tcBorders>
              <w:top w:val="single" w:sz="4" w:space="0" w:color="auto"/>
              <w:left w:val="single" w:sz="4" w:space="0" w:color="auto"/>
              <w:bottom w:val="single" w:sz="4" w:space="0" w:color="auto"/>
              <w:right w:val="single" w:sz="4" w:space="0" w:color="auto"/>
            </w:tcBorders>
            <w:hideMark/>
          </w:tcPr>
          <w:p w14:paraId="289A85DE" w14:textId="77777777" w:rsidR="009413BF" w:rsidRPr="009413BF" w:rsidRDefault="009413BF" w:rsidP="009413BF">
            <w:pPr>
              <w:spacing w:after="160" w:line="278" w:lineRule="auto"/>
              <w:rPr>
                <w:b/>
                <w:bCs/>
              </w:rPr>
            </w:pPr>
            <w:r w:rsidRPr="009413BF">
              <w:rPr>
                <w:b/>
                <w:bCs/>
              </w:rPr>
              <w:t>Reference</w:t>
            </w:r>
          </w:p>
        </w:tc>
        <w:tc>
          <w:tcPr>
            <w:tcW w:w="0" w:type="auto"/>
            <w:tcBorders>
              <w:top w:val="single" w:sz="4" w:space="0" w:color="auto"/>
              <w:left w:val="single" w:sz="4" w:space="0" w:color="auto"/>
              <w:bottom w:val="single" w:sz="4" w:space="0" w:color="auto"/>
              <w:right w:val="single" w:sz="4" w:space="0" w:color="auto"/>
            </w:tcBorders>
            <w:hideMark/>
          </w:tcPr>
          <w:p w14:paraId="4B0E4DC5" w14:textId="77777777" w:rsidR="009413BF" w:rsidRPr="009413BF" w:rsidRDefault="009413BF" w:rsidP="009413BF">
            <w:pPr>
              <w:spacing w:after="160" w:line="278" w:lineRule="auto"/>
              <w:rPr>
                <w:b/>
                <w:bCs/>
              </w:rPr>
            </w:pPr>
            <w:r w:rsidRPr="009413BF">
              <w:rPr>
                <w:b/>
                <w:bCs/>
              </w:rPr>
              <w:t>Approach Type</w:t>
            </w:r>
          </w:p>
        </w:tc>
        <w:tc>
          <w:tcPr>
            <w:tcW w:w="0" w:type="auto"/>
            <w:tcBorders>
              <w:top w:val="single" w:sz="4" w:space="0" w:color="auto"/>
              <w:left w:val="single" w:sz="4" w:space="0" w:color="auto"/>
              <w:bottom w:val="single" w:sz="4" w:space="0" w:color="auto"/>
              <w:right w:val="single" w:sz="4" w:space="0" w:color="auto"/>
            </w:tcBorders>
            <w:hideMark/>
          </w:tcPr>
          <w:p w14:paraId="7ECA5A46" w14:textId="77777777" w:rsidR="009413BF" w:rsidRPr="009413BF" w:rsidRDefault="009413BF" w:rsidP="009413BF">
            <w:pPr>
              <w:spacing w:after="160" w:line="278" w:lineRule="auto"/>
              <w:rPr>
                <w:b/>
                <w:bCs/>
              </w:rPr>
            </w:pPr>
            <w:r w:rsidRPr="009413BF">
              <w:rPr>
                <w:b/>
                <w:bCs/>
              </w:rPr>
              <w:t>Technique / Model</w:t>
            </w:r>
          </w:p>
        </w:tc>
        <w:tc>
          <w:tcPr>
            <w:tcW w:w="0" w:type="auto"/>
            <w:tcBorders>
              <w:top w:val="single" w:sz="4" w:space="0" w:color="auto"/>
              <w:left w:val="single" w:sz="4" w:space="0" w:color="auto"/>
              <w:bottom w:val="single" w:sz="4" w:space="0" w:color="auto"/>
              <w:right w:val="single" w:sz="4" w:space="0" w:color="auto"/>
            </w:tcBorders>
            <w:hideMark/>
          </w:tcPr>
          <w:p w14:paraId="33F63C39" w14:textId="77777777" w:rsidR="009413BF" w:rsidRPr="009413BF" w:rsidRDefault="009413BF" w:rsidP="009413BF">
            <w:pPr>
              <w:spacing w:after="160" w:line="278" w:lineRule="auto"/>
              <w:rPr>
                <w:b/>
                <w:bCs/>
              </w:rPr>
            </w:pPr>
            <w:r w:rsidRPr="009413BF">
              <w:rPr>
                <w:b/>
                <w:bCs/>
              </w:rPr>
              <w:t>Dataset / Context</w:t>
            </w:r>
          </w:p>
        </w:tc>
        <w:tc>
          <w:tcPr>
            <w:tcW w:w="0" w:type="auto"/>
            <w:tcBorders>
              <w:top w:val="single" w:sz="4" w:space="0" w:color="auto"/>
              <w:left w:val="single" w:sz="4" w:space="0" w:color="auto"/>
              <w:bottom w:val="single" w:sz="4" w:space="0" w:color="auto"/>
              <w:right w:val="single" w:sz="4" w:space="0" w:color="auto"/>
            </w:tcBorders>
            <w:hideMark/>
          </w:tcPr>
          <w:p w14:paraId="087115E0" w14:textId="77777777" w:rsidR="009413BF" w:rsidRPr="009413BF" w:rsidRDefault="009413BF" w:rsidP="009413BF">
            <w:pPr>
              <w:spacing w:after="160" w:line="278" w:lineRule="auto"/>
              <w:rPr>
                <w:b/>
                <w:bCs/>
              </w:rPr>
            </w:pPr>
            <w:r w:rsidRPr="009413BF">
              <w:rPr>
                <w:b/>
                <w:bCs/>
              </w:rPr>
              <w:t>Reported Performance</w:t>
            </w:r>
          </w:p>
        </w:tc>
      </w:tr>
      <w:tr w:rsidR="009413BF" w:rsidRPr="009413BF" w14:paraId="5008BBA2" w14:textId="77777777">
        <w:tc>
          <w:tcPr>
            <w:tcW w:w="0" w:type="auto"/>
            <w:tcBorders>
              <w:top w:val="single" w:sz="4" w:space="0" w:color="auto"/>
              <w:left w:val="single" w:sz="4" w:space="0" w:color="auto"/>
              <w:bottom w:val="single" w:sz="4" w:space="0" w:color="auto"/>
              <w:right w:val="single" w:sz="4" w:space="0" w:color="auto"/>
            </w:tcBorders>
            <w:hideMark/>
          </w:tcPr>
          <w:p w14:paraId="2213C5B9" w14:textId="77777777" w:rsidR="009413BF" w:rsidRPr="009413BF" w:rsidRDefault="009413BF" w:rsidP="009413BF">
            <w:pPr>
              <w:spacing w:after="160" w:line="278" w:lineRule="auto"/>
            </w:pPr>
            <w:r w:rsidRPr="009413BF">
              <w:t>Jaradat et al., 2022</w:t>
            </w:r>
          </w:p>
        </w:tc>
        <w:tc>
          <w:tcPr>
            <w:tcW w:w="0" w:type="auto"/>
            <w:tcBorders>
              <w:top w:val="single" w:sz="4" w:space="0" w:color="auto"/>
              <w:left w:val="single" w:sz="4" w:space="0" w:color="auto"/>
              <w:bottom w:val="single" w:sz="4" w:space="0" w:color="auto"/>
              <w:right w:val="single" w:sz="4" w:space="0" w:color="auto"/>
            </w:tcBorders>
            <w:hideMark/>
          </w:tcPr>
          <w:p w14:paraId="6B950639" w14:textId="77777777" w:rsidR="009413BF" w:rsidRPr="009413BF" w:rsidRDefault="009413BF" w:rsidP="009413BF">
            <w:pPr>
              <w:spacing w:after="160" w:line="278" w:lineRule="auto"/>
            </w:pPr>
            <w:r w:rsidRPr="009413BF">
              <w:t>ML-based IDS</w:t>
            </w:r>
          </w:p>
        </w:tc>
        <w:tc>
          <w:tcPr>
            <w:tcW w:w="0" w:type="auto"/>
            <w:tcBorders>
              <w:top w:val="single" w:sz="4" w:space="0" w:color="auto"/>
              <w:left w:val="single" w:sz="4" w:space="0" w:color="auto"/>
              <w:bottom w:val="single" w:sz="4" w:space="0" w:color="auto"/>
              <w:right w:val="single" w:sz="4" w:space="0" w:color="auto"/>
            </w:tcBorders>
            <w:hideMark/>
          </w:tcPr>
          <w:p w14:paraId="4F1CA581" w14:textId="77777777" w:rsidR="009413BF" w:rsidRPr="009413BF" w:rsidRDefault="009413BF" w:rsidP="009413BF">
            <w:pPr>
              <w:spacing w:after="160" w:line="278" w:lineRule="auto"/>
            </w:pPr>
            <w:r w:rsidRPr="009413BF">
              <w:t>SVM, RF, Neural Networks</w:t>
            </w:r>
          </w:p>
        </w:tc>
        <w:tc>
          <w:tcPr>
            <w:tcW w:w="0" w:type="auto"/>
            <w:tcBorders>
              <w:top w:val="single" w:sz="4" w:space="0" w:color="auto"/>
              <w:left w:val="single" w:sz="4" w:space="0" w:color="auto"/>
              <w:bottom w:val="single" w:sz="4" w:space="0" w:color="auto"/>
              <w:right w:val="single" w:sz="4" w:space="0" w:color="auto"/>
            </w:tcBorders>
            <w:hideMark/>
          </w:tcPr>
          <w:p w14:paraId="190615D1" w14:textId="77777777" w:rsidR="009413BF" w:rsidRPr="009413BF" w:rsidRDefault="009413BF" w:rsidP="009413BF">
            <w:pPr>
              <w:spacing w:after="160" w:line="278" w:lineRule="auto"/>
            </w:pPr>
            <w:r w:rsidRPr="009413BF">
              <w:t>CICIDS2017</w:t>
            </w:r>
          </w:p>
        </w:tc>
        <w:tc>
          <w:tcPr>
            <w:tcW w:w="0" w:type="auto"/>
            <w:tcBorders>
              <w:top w:val="single" w:sz="4" w:space="0" w:color="auto"/>
              <w:left w:val="single" w:sz="4" w:space="0" w:color="auto"/>
              <w:bottom w:val="single" w:sz="4" w:space="0" w:color="auto"/>
              <w:right w:val="single" w:sz="4" w:space="0" w:color="auto"/>
            </w:tcBorders>
            <w:hideMark/>
          </w:tcPr>
          <w:p w14:paraId="197F9F23" w14:textId="77777777" w:rsidR="009413BF" w:rsidRPr="009413BF" w:rsidRDefault="009413BF" w:rsidP="009413BF">
            <w:pPr>
              <w:spacing w:after="160" w:line="278" w:lineRule="auto"/>
            </w:pPr>
            <w:r w:rsidRPr="009413BF">
              <w:t>98.6% accuracy</w:t>
            </w:r>
          </w:p>
        </w:tc>
      </w:tr>
      <w:tr w:rsidR="009413BF" w:rsidRPr="009413BF" w14:paraId="1AA42743" w14:textId="77777777">
        <w:tc>
          <w:tcPr>
            <w:tcW w:w="0" w:type="auto"/>
            <w:tcBorders>
              <w:top w:val="single" w:sz="4" w:space="0" w:color="auto"/>
              <w:left w:val="single" w:sz="4" w:space="0" w:color="auto"/>
              <w:bottom w:val="single" w:sz="4" w:space="0" w:color="auto"/>
              <w:right w:val="single" w:sz="4" w:space="0" w:color="auto"/>
            </w:tcBorders>
            <w:hideMark/>
          </w:tcPr>
          <w:p w14:paraId="7A131F59" w14:textId="77777777" w:rsidR="009413BF" w:rsidRPr="009413BF" w:rsidRDefault="009413BF" w:rsidP="009413BF">
            <w:pPr>
              <w:spacing w:after="160" w:line="278" w:lineRule="auto"/>
            </w:pPr>
            <w:r w:rsidRPr="009413BF">
              <w:t>Sun et al., 2020</w:t>
            </w:r>
          </w:p>
        </w:tc>
        <w:tc>
          <w:tcPr>
            <w:tcW w:w="0" w:type="auto"/>
            <w:tcBorders>
              <w:top w:val="single" w:sz="4" w:space="0" w:color="auto"/>
              <w:left w:val="single" w:sz="4" w:space="0" w:color="auto"/>
              <w:bottom w:val="single" w:sz="4" w:space="0" w:color="auto"/>
              <w:right w:val="single" w:sz="4" w:space="0" w:color="auto"/>
            </w:tcBorders>
            <w:hideMark/>
          </w:tcPr>
          <w:p w14:paraId="4AA68FF1" w14:textId="77777777" w:rsidR="009413BF" w:rsidRPr="009413BF" w:rsidRDefault="009413BF" w:rsidP="009413BF">
            <w:pPr>
              <w:spacing w:after="160" w:line="278" w:lineRule="auto"/>
            </w:pPr>
            <w:r w:rsidRPr="009413BF">
              <w:t>Deep Learning IDS</w:t>
            </w:r>
          </w:p>
        </w:tc>
        <w:tc>
          <w:tcPr>
            <w:tcW w:w="0" w:type="auto"/>
            <w:tcBorders>
              <w:top w:val="single" w:sz="4" w:space="0" w:color="auto"/>
              <w:left w:val="single" w:sz="4" w:space="0" w:color="auto"/>
              <w:bottom w:val="single" w:sz="4" w:space="0" w:color="auto"/>
              <w:right w:val="single" w:sz="4" w:space="0" w:color="auto"/>
            </w:tcBorders>
            <w:hideMark/>
          </w:tcPr>
          <w:p w14:paraId="72ECFF11" w14:textId="77777777" w:rsidR="009413BF" w:rsidRPr="009413BF" w:rsidRDefault="009413BF" w:rsidP="009413BF">
            <w:pPr>
              <w:spacing w:after="160" w:line="278" w:lineRule="auto"/>
            </w:pPr>
            <w:r w:rsidRPr="009413BF">
              <w:t>Traffic feature learning</w:t>
            </w:r>
          </w:p>
        </w:tc>
        <w:tc>
          <w:tcPr>
            <w:tcW w:w="0" w:type="auto"/>
            <w:tcBorders>
              <w:top w:val="single" w:sz="4" w:space="0" w:color="auto"/>
              <w:left w:val="single" w:sz="4" w:space="0" w:color="auto"/>
              <w:bottom w:val="single" w:sz="4" w:space="0" w:color="auto"/>
              <w:right w:val="single" w:sz="4" w:space="0" w:color="auto"/>
            </w:tcBorders>
            <w:hideMark/>
          </w:tcPr>
          <w:p w14:paraId="09022C4F" w14:textId="77777777" w:rsidR="009413BF" w:rsidRPr="009413BF" w:rsidRDefault="009413BF" w:rsidP="009413BF">
            <w:pPr>
              <w:spacing w:after="160" w:line="278" w:lineRule="auto"/>
            </w:pPr>
            <w:r w:rsidRPr="009413BF">
              <w:t>Network traffic</w:t>
            </w:r>
          </w:p>
        </w:tc>
        <w:tc>
          <w:tcPr>
            <w:tcW w:w="0" w:type="auto"/>
            <w:tcBorders>
              <w:top w:val="single" w:sz="4" w:space="0" w:color="auto"/>
              <w:left w:val="single" w:sz="4" w:space="0" w:color="auto"/>
              <w:bottom w:val="single" w:sz="4" w:space="0" w:color="auto"/>
              <w:right w:val="single" w:sz="4" w:space="0" w:color="auto"/>
            </w:tcBorders>
            <w:hideMark/>
          </w:tcPr>
          <w:p w14:paraId="336A935D" w14:textId="77777777" w:rsidR="009413BF" w:rsidRPr="009413BF" w:rsidRDefault="009413BF" w:rsidP="009413BF">
            <w:pPr>
              <w:spacing w:after="160" w:line="278" w:lineRule="auto"/>
            </w:pPr>
            <w:r w:rsidRPr="009413BF">
              <w:t>~98% accuracy</w:t>
            </w:r>
          </w:p>
        </w:tc>
      </w:tr>
      <w:tr w:rsidR="009413BF" w:rsidRPr="009413BF" w14:paraId="575BF490" w14:textId="77777777">
        <w:tc>
          <w:tcPr>
            <w:tcW w:w="0" w:type="auto"/>
            <w:tcBorders>
              <w:top w:val="single" w:sz="4" w:space="0" w:color="auto"/>
              <w:left w:val="single" w:sz="4" w:space="0" w:color="auto"/>
              <w:bottom w:val="single" w:sz="4" w:space="0" w:color="auto"/>
              <w:right w:val="single" w:sz="4" w:space="0" w:color="auto"/>
            </w:tcBorders>
            <w:hideMark/>
          </w:tcPr>
          <w:p w14:paraId="2682EBF7" w14:textId="77777777" w:rsidR="009413BF" w:rsidRPr="009413BF" w:rsidRDefault="009413BF" w:rsidP="009413BF">
            <w:pPr>
              <w:spacing w:after="160" w:line="278" w:lineRule="auto"/>
            </w:pPr>
            <w:proofErr w:type="spellStart"/>
            <w:r w:rsidRPr="009413BF">
              <w:t>Buyuktanir</w:t>
            </w:r>
            <w:proofErr w:type="spellEnd"/>
            <w:r w:rsidRPr="009413BF">
              <w:t xml:space="preserve"> et al., 2025; Karunamurthy et al., 2025</w:t>
            </w:r>
          </w:p>
        </w:tc>
        <w:tc>
          <w:tcPr>
            <w:tcW w:w="0" w:type="auto"/>
            <w:tcBorders>
              <w:top w:val="single" w:sz="4" w:space="0" w:color="auto"/>
              <w:left w:val="single" w:sz="4" w:space="0" w:color="auto"/>
              <w:bottom w:val="single" w:sz="4" w:space="0" w:color="auto"/>
              <w:right w:val="single" w:sz="4" w:space="0" w:color="auto"/>
            </w:tcBorders>
            <w:hideMark/>
          </w:tcPr>
          <w:p w14:paraId="07A3262B" w14:textId="77777777" w:rsidR="009413BF" w:rsidRPr="009413BF" w:rsidRDefault="009413BF" w:rsidP="009413BF">
            <w:pPr>
              <w:spacing w:after="160" w:line="278" w:lineRule="auto"/>
            </w:pPr>
            <w:r w:rsidRPr="009413BF">
              <w:t>Federated IDS</w:t>
            </w:r>
          </w:p>
        </w:tc>
        <w:tc>
          <w:tcPr>
            <w:tcW w:w="0" w:type="auto"/>
            <w:tcBorders>
              <w:top w:val="single" w:sz="4" w:space="0" w:color="auto"/>
              <w:left w:val="single" w:sz="4" w:space="0" w:color="auto"/>
              <w:bottom w:val="single" w:sz="4" w:space="0" w:color="auto"/>
              <w:right w:val="single" w:sz="4" w:space="0" w:color="auto"/>
            </w:tcBorders>
            <w:hideMark/>
          </w:tcPr>
          <w:p w14:paraId="18FC0562" w14:textId="77777777" w:rsidR="009413BF" w:rsidRPr="009413BF" w:rsidRDefault="009413BF" w:rsidP="009413BF">
            <w:pPr>
              <w:spacing w:after="160" w:line="278" w:lineRule="auto"/>
            </w:pPr>
            <w:r w:rsidRPr="009413BF">
              <w:t>Distributed FL models</w:t>
            </w:r>
          </w:p>
        </w:tc>
        <w:tc>
          <w:tcPr>
            <w:tcW w:w="0" w:type="auto"/>
            <w:tcBorders>
              <w:top w:val="single" w:sz="4" w:space="0" w:color="auto"/>
              <w:left w:val="single" w:sz="4" w:space="0" w:color="auto"/>
              <w:bottom w:val="single" w:sz="4" w:space="0" w:color="auto"/>
              <w:right w:val="single" w:sz="4" w:space="0" w:color="auto"/>
            </w:tcBorders>
            <w:hideMark/>
          </w:tcPr>
          <w:p w14:paraId="17673833" w14:textId="77777777" w:rsidR="009413BF" w:rsidRPr="009413BF" w:rsidRDefault="009413BF" w:rsidP="009413BF">
            <w:pPr>
              <w:spacing w:after="160" w:line="278" w:lineRule="auto"/>
            </w:pPr>
            <w:r w:rsidRPr="009413BF">
              <w:t>Decentralized systems</w:t>
            </w:r>
          </w:p>
        </w:tc>
        <w:tc>
          <w:tcPr>
            <w:tcW w:w="0" w:type="auto"/>
            <w:tcBorders>
              <w:top w:val="single" w:sz="4" w:space="0" w:color="auto"/>
              <w:left w:val="single" w:sz="4" w:space="0" w:color="auto"/>
              <w:bottom w:val="single" w:sz="4" w:space="0" w:color="auto"/>
              <w:right w:val="single" w:sz="4" w:space="0" w:color="auto"/>
            </w:tcBorders>
            <w:hideMark/>
          </w:tcPr>
          <w:p w14:paraId="6DE3CDD2" w14:textId="77777777" w:rsidR="009413BF" w:rsidRPr="009413BF" w:rsidRDefault="009413BF" w:rsidP="009413BF">
            <w:pPr>
              <w:spacing w:after="160" w:line="278" w:lineRule="auto"/>
            </w:pPr>
            <w:r w:rsidRPr="009413BF">
              <w:t>&gt;95% accuracy</w:t>
            </w:r>
          </w:p>
        </w:tc>
      </w:tr>
      <w:tr w:rsidR="009413BF" w:rsidRPr="009413BF" w14:paraId="0365644B" w14:textId="77777777">
        <w:tc>
          <w:tcPr>
            <w:tcW w:w="0" w:type="auto"/>
            <w:tcBorders>
              <w:top w:val="single" w:sz="4" w:space="0" w:color="auto"/>
              <w:left w:val="single" w:sz="4" w:space="0" w:color="auto"/>
              <w:bottom w:val="single" w:sz="4" w:space="0" w:color="auto"/>
              <w:right w:val="single" w:sz="4" w:space="0" w:color="auto"/>
            </w:tcBorders>
            <w:hideMark/>
          </w:tcPr>
          <w:p w14:paraId="7DC21B24" w14:textId="77777777" w:rsidR="009413BF" w:rsidRPr="009413BF" w:rsidRDefault="009413BF" w:rsidP="009413BF">
            <w:pPr>
              <w:spacing w:after="160" w:line="278" w:lineRule="auto"/>
            </w:pPr>
            <w:proofErr w:type="spellStart"/>
            <w:r w:rsidRPr="009413BF">
              <w:t>Doost</w:t>
            </w:r>
            <w:proofErr w:type="spellEnd"/>
            <w:r w:rsidRPr="009413BF">
              <w:t xml:space="preserve"> et al., 2025</w:t>
            </w:r>
          </w:p>
        </w:tc>
        <w:tc>
          <w:tcPr>
            <w:tcW w:w="0" w:type="auto"/>
            <w:tcBorders>
              <w:top w:val="single" w:sz="4" w:space="0" w:color="auto"/>
              <w:left w:val="single" w:sz="4" w:space="0" w:color="auto"/>
              <w:bottom w:val="single" w:sz="4" w:space="0" w:color="auto"/>
              <w:right w:val="single" w:sz="4" w:space="0" w:color="auto"/>
            </w:tcBorders>
            <w:hideMark/>
          </w:tcPr>
          <w:p w14:paraId="1A982453" w14:textId="77777777" w:rsidR="009413BF" w:rsidRPr="009413BF" w:rsidRDefault="009413BF" w:rsidP="009413BF">
            <w:pPr>
              <w:spacing w:after="160" w:line="278" w:lineRule="auto"/>
            </w:pPr>
            <w:r w:rsidRPr="009413BF">
              <w:t>Hybrid IDS</w:t>
            </w:r>
          </w:p>
        </w:tc>
        <w:tc>
          <w:tcPr>
            <w:tcW w:w="0" w:type="auto"/>
            <w:tcBorders>
              <w:top w:val="single" w:sz="4" w:space="0" w:color="auto"/>
              <w:left w:val="single" w:sz="4" w:space="0" w:color="auto"/>
              <w:bottom w:val="single" w:sz="4" w:space="0" w:color="auto"/>
              <w:right w:val="single" w:sz="4" w:space="0" w:color="auto"/>
            </w:tcBorders>
            <w:hideMark/>
          </w:tcPr>
          <w:p w14:paraId="59B63B86" w14:textId="77777777" w:rsidR="009413BF" w:rsidRPr="009413BF" w:rsidRDefault="009413BF" w:rsidP="009413BF">
            <w:pPr>
              <w:spacing w:after="160" w:line="278" w:lineRule="auto"/>
            </w:pPr>
            <w:r w:rsidRPr="009413BF">
              <w:t>CNN + Random Forest</w:t>
            </w:r>
          </w:p>
        </w:tc>
        <w:tc>
          <w:tcPr>
            <w:tcW w:w="0" w:type="auto"/>
            <w:tcBorders>
              <w:top w:val="single" w:sz="4" w:space="0" w:color="auto"/>
              <w:left w:val="single" w:sz="4" w:space="0" w:color="auto"/>
              <w:bottom w:val="single" w:sz="4" w:space="0" w:color="auto"/>
              <w:right w:val="single" w:sz="4" w:space="0" w:color="auto"/>
            </w:tcBorders>
            <w:hideMark/>
          </w:tcPr>
          <w:p w14:paraId="3F166670" w14:textId="77777777" w:rsidR="009413BF" w:rsidRPr="009413BF" w:rsidRDefault="009413BF" w:rsidP="009413BF">
            <w:pPr>
              <w:spacing w:after="160" w:line="278" w:lineRule="auto"/>
            </w:pPr>
            <w:r w:rsidRPr="009413BF">
              <w:t>Network intrusion data</w:t>
            </w:r>
          </w:p>
        </w:tc>
        <w:tc>
          <w:tcPr>
            <w:tcW w:w="0" w:type="auto"/>
            <w:tcBorders>
              <w:top w:val="single" w:sz="4" w:space="0" w:color="auto"/>
              <w:left w:val="single" w:sz="4" w:space="0" w:color="auto"/>
              <w:bottom w:val="single" w:sz="4" w:space="0" w:color="auto"/>
              <w:right w:val="single" w:sz="4" w:space="0" w:color="auto"/>
            </w:tcBorders>
            <w:hideMark/>
          </w:tcPr>
          <w:p w14:paraId="59649999" w14:textId="77777777" w:rsidR="009413BF" w:rsidRPr="009413BF" w:rsidRDefault="009413BF" w:rsidP="009413BF">
            <w:pPr>
              <w:spacing w:after="160" w:line="278" w:lineRule="auto"/>
            </w:pPr>
            <w:r w:rsidRPr="009413BF">
              <w:t>98% precision</w:t>
            </w:r>
          </w:p>
        </w:tc>
      </w:tr>
      <w:tr w:rsidR="009413BF" w:rsidRPr="009413BF" w14:paraId="6B6F9F02" w14:textId="77777777">
        <w:tc>
          <w:tcPr>
            <w:tcW w:w="0" w:type="auto"/>
            <w:tcBorders>
              <w:top w:val="single" w:sz="4" w:space="0" w:color="auto"/>
              <w:left w:val="single" w:sz="4" w:space="0" w:color="auto"/>
              <w:bottom w:val="single" w:sz="4" w:space="0" w:color="auto"/>
              <w:right w:val="single" w:sz="4" w:space="0" w:color="auto"/>
            </w:tcBorders>
            <w:hideMark/>
          </w:tcPr>
          <w:p w14:paraId="63C53F53" w14:textId="77777777" w:rsidR="009413BF" w:rsidRPr="009413BF" w:rsidRDefault="009413BF" w:rsidP="009413BF">
            <w:pPr>
              <w:spacing w:after="160" w:line="278" w:lineRule="auto"/>
            </w:pPr>
            <w:r w:rsidRPr="009413BF">
              <w:t>Zhong et al., 2020</w:t>
            </w:r>
          </w:p>
        </w:tc>
        <w:tc>
          <w:tcPr>
            <w:tcW w:w="0" w:type="auto"/>
            <w:tcBorders>
              <w:top w:val="single" w:sz="4" w:space="0" w:color="auto"/>
              <w:left w:val="single" w:sz="4" w:space="0" w:color="auto"/>
              <w:bottom w:val="single" w:sz="4" w:space="0" w:color="auto"/>
              <w:right w:val="single" w:sz="4" w:space="0" w:color="auto"/>
            </w:tcBorders>
            <w:hideMark/>
          </w:tcPr>
          <w:p w14:paraId="211B4831" w14:textId="77777777" w:rsidR="009413BF" w:rsidRPr="009413BF" w:rsidRDefault="009413BF" w:rsidP="009413BF">
            <w:pPr>
              <w:spacing w:after="160" w:line="278" w:lineRule="auto"/>
            </w:pPr>
            <w:r w:rsidRPr="009413BF">
              <w:t>Big Data IDS</w:t>
            </w:r>
          </w:p>
        </w:tc>
        <w:tc>
          <w:tcPr>
            <w:tcW w:w="0" w:type="auto"/>
            <w:tcBorders>
              <w:top w:val="single" w:sz="4" w:space="0" w:color="auto"/>
              <w:left w:val="single" w:sz="4" w:space="0" w:color="auto"/>
              <w:bottom w:val="single" w:sz="4" w:space="0" w:color="auto"/>
              <w:right w:val="single" w:sz="4" w:space="0" w:color="auto"/>
            </w:tcBorders>
            <w:hideMark/>
          </w:tcPr>
          <w:p w14:paraId="2EAD4F00" w14:textId="77777777" w:rsidR="009413BF" w:rsidRPr="009413BF" w:rsidRDefault="009413BF" w:rsidP="009413BF">
            <w:pPr>
              <w:spacing w:after="160" w:line="278" w:lineRule="auto"/>
            </w:pPr>
            <w:r w:rsidRPr="009413BF">
              <w:t>Hierarchical learning</w:t>
            </w:r>
          </w:p>
        </w:tc>
        <w:tc>
          <w:tcPr>
            <w:tcW w:w="0" w:type="auto"/>
            <w:tcBorders>
              <w:top w:val="single" w:sz="4" w:space="0" w:color="auto"/>
              <w:left w:val="single" w:sz="4" w:space="0" w:color="auto"/>
              <w:bottom w:val="single" w:sz="4" w:space="0" w:color="auto"/>
              <w:right w:val="single" w:sz="4" w:space="0" w:color="auto"/>
            </w:tcBorders>
            <w:hideMark/>
          </w:tcPr>
          <w:p w14:paraId="49BC8C9D" w14:textId="77777777" w:rsidR="009413BF" w:rsidRPr="009413BF" w:rsidRDefault="009413BF" w:rsidP="009413BF">
            <w:pPr>
              <w:spacing w:after="160" w:line="278" w:lineRule="auto"/>
            </w:pPr>
            <w:r w:rsidRPr="009413BF">
              <w:t>Large-scale networks</w:t>
            </w:r>
          </w:p>
        </w:tc>
        <w:tc>
          <w:tcPr>
            <w:tcW w:w="0" w:type="auto"/>
            <w:tcBorders>
              <w:top w:val="single" w:sz="4" w:space="0" w:color="auto"/>
              <w:left w:val="single" w:sz="4" w:space="0" w:color="auto"/>
              <w:bottom w:val="single" w:sz="4" w:space="0" w:color="auto"/>
              <w:right w:val="single" w:sz="4" w:space="0" w:color="auto"/>
            </w:tcBorders>
            <w:hideMark/>
          </w:tcPr>
          <w:p w14:paraId="616B462A" w14:textId="77777777" w:rsidR="009413BF" w:rsidRPr="009413BF" w:rsidRDefault="009413BF" w:rsidP="009413BF">
            <w:pPr>
              <w:spacing w:after="160" w:line="278" w:lineRule="auto"/>
            </w:pPr>
            <w:r w:rsidRPr="009413BF">
              <w:t>Scalable parallel training</w:t>
            </w:r>
          </w:p>
        </w:tc>
      </w:tr>
      <w:tr w:rsidR="009413BF" w:rsidRPr="009413BF" w14:paraId="21BDE59E" w14:textId="77777777">
        <w:tc>
          <w:tcPr>
            <w:tcW w:w="0" w:type="auto"/>
            <w:tcBorders>
              <w:top w:val="single" w:sz="4" w:space="0" w:color="auto"/>
              <w:left w:val="single" w:sz="4" w:space="0" w:color="auto"/>
              <w:bottom w:val="single" w:sz="4" w:space="0" w:color="auto"/>
              <w:right w:val="single" w:sz="4" w:space="0" w:color="auto"/>
            </w:tcBorders>
            <w:hideMark/>
          </w:tcPr>
          <w:p w14:paraId="34340331" w14:textId="77777777" w:rsidR="009413BF" w:rsidRPr="009413BF" w:rsidRDefault="009413BF" w:rsidP="009413BF">
            <w:pPr>
              <w:spacing w:after="160" w:line="278" w:lineRule="auto"/>
            </w:pPr>
            <w:r w:rsidRPr="009413BF">
              <w:t>Kalinin &amp; Krundyshev, 2022</w:t>
            </w:r>
          </w:p>
        </w:tc>
        <w:tc>
          <w:tcPr>
            <w:tcW w:w="0" w:type="auto"/>
            <w:tcBorders>
              <w:top w:val="single" w:sz="4" w:space="0" w:color="auto"/>
              <w:left w:val="single" w:sz="4" w:space="0" w:color="auto"/>
              <w:bottom w:val="single" w:sz="4" w:space="0" w:color="auto"/>
              <w:right w:val="single" w:sz="4" w:space="0" w:color="auto"/>
            </w:tcBorders>
            <w:hideMark/>
          </w:tcPr>
          <w:p w14:paraId="4A6B4531" w14:textId="77777777" w:rsidR="009413BF" w:rsidRPr="009413BF" w:rsidRDefault="009413BF" w:rsidP="009413BF">
            <w:pPr>
              <w:spacing w:after="160" w:line="278" w:lineRule="auto"/>
            </w:pPr>
            <w:r w:rsidRPr="009413BF">
              <w:t>Quantum ML IDS</w:t>
            </w:r>
          </w:p>
        </w:tc>
        <w:tc>
          <w:tcPr>
            <w:tcW w:w="0" w:type="auto"/>
            <w:tcBorders>
              <w:top w:val="single" w:sz="4" w:space="0" w:color="auto"/>
              <w:left w:val="single" w:sz="4" w:space="0" w:color="auto"/>
              <w:bottom w:val="single" w:sz="4" w:space="0" w:color="auto"/>
              <w:right w:val="single" w:sz="4" w:space="0" w:color="auto"/>
            </w:tcBorders>
            <w:hideMark/>
          </w:tcPr>
          <w:p w14:paraId="104A5334" w14:textId="77777777" w:rsidR="009413BF" w:rsidRPr="009413BF" w:rsidRDefault="009413BF" w:rsidP="009413BF">
            <w:pPr>
              <w:spacing w:after="160" w:line="278" w:lineRule="auto"/>
            </w:pPr>
            <w:r w:rsidRPr="009413BF">
              <w:t>Quantum learning models</w:t>
            </w:r>
          </w:p>
        </w:tc>
        <w:tc>
          <w:tcPr>
            <w:tcW w:w="0" w:type="auto"/>
            <w:tcBorders>
              <w:top w:val="single" w:sz="4" w:space="0" w:color="auto"/>
              <w:left w:val="single" w:sz="4" w:space="0" w:color="auto"/>
              <w:bottom w:val="single" w:sz="4" w:space="0" w:color="auto"/>
              <w:right w:val="single" w:sz="4" w:space="0" w:color="auto"/>
            </w:tcBorders>
            <w:hideMark/>
          </w:tcPr>
          <w:p w14:paraId="0E66A2AC" w14:textId="77777777" w:rsidR="009413BF" w:rsidRPr="009413BF" w:rsidRDefault="009413BF" w:rsidP="009413BF">
            <w:pPr>
              <w:spacing w:after="160" w:line="278" w:lineRule="auto"/>
            </w:pPr>
            <w:r w:rsidRPr="009413BF">
              <w:t>Network intrusion data</w:t>
            </w:r>
          </w:p>
        </w:tc>
        <w:tc>
          <w:tcPr>
            <w:tcW w:w="0" w:type="auto"/>
            <w:tcBorders>
              <w:top w:val="single" w:sz="4" w:space="0" w:color="auto"/>
              <w:left w:val="single" w:sz="4" w:space="0" w:color="auto"/>
              <w:bottom w:val="single" w:sz="4" w:space="0" w:color="auto"/>
              <w:right w:val="single" w:sz="4" w:space="0" w:color="auto"/>
            </w:tcBorders>
            <w:hideMark/>
          </w:tcPr>
          <w:p w14:paraId="127B5D7B" w14:textId="77777777" w:rsidR="009413BF" w:rsidRPr="009413BF" w:rsidRDefault="009413BF" w:rsidP="009413BF">
            <w:pPr>
              <w:spacing w:after="160" w:line="278" w:lineRule="auto"/>
            </w:pPr>
            <w:r w:rsidRPr="009413BF">
              <w:t>~98% accuracy</w:t>
            </w:r>
          </w:p>
        </w:tc>
      </w:tr>
      <w:tr w:rsidR="009413BF" w:rsidRPr="009413BF" w14:paraId="674A97C0" w14:textId="77777777">
        <w:tc>
          <w:tcPr>
            <w:tcW w:w="0" w:type="auto"/>
            <w:tcBorders>
              <w:top w:val="single" w:sz="4" w:space="0" w:color="auto"/>
              <w:left w:val="single" w:sz="4" w:space="0" w:color="auto"/>
              <w:bottom w:val="single" w:sz="4" w:space="0" w:color="auto"/>
              <w:right w:val="single" w:sz="4" w:space="0" w:color="auto"/>
            </w:tcBorders>
            <w:hideMark/>
          </w:tcPr>
          <w:p w14:paraId="0D1E9F24" w14:textId="77777777" w:rsidR="009413BF" w:rsidRPr="009413BF" w:rsidRDefault="009413BF" w:rsidP="009413BF">
            <w:pPr>
              <w:spacing w:after="160" w:line="278" w:lineRule="auto"/>
            </w:pPr>
            <w:r w:rsidRPr="009413BF">
              <w:t>Orman, 2025</w:t>
            </w:r>
          </w:p>
        </w:tc>
        <w:tc>
          <w:tcPr>
            <w:tcW w:w="0" w:type="auto"/>
            <w:tcBorders>
              <w:top w:val="single" w:sz="4" w:space="0" w:color="auto"/>
              <w:left w:val="single" w:sz="4" w:space="0" w:color="auto"/>
              <w:bottom w:val="single" w:sz="4" w:space="0" w:color="auto"/>
              <w:right w:val="single" w:sz="4" w:space="0" w:color="auto"/>
            </w:tcBorders>
            <w:hideMark/>
          </w:tcPr>
          <w:p w14:paraId="6ACBD927" w14:textId="77777777" w:rsidR="009413BF" w:rsidRPr="009413BF" w:rsidRDefault="009413BF" w:rsidP="009413BF">
            <w:pPr>
              <w:spacing w:after="160" w:line="278" w:lineRule="auto"/>
            </w:pPr>
            <w:r w:rsidRPr="009413BF">
              <w:t>Deep Learning (Standalone)</w:t>
            </w:r>
          </w:p>
        </w:tc>
        <w:tc>
          <w:tcPr>
            <w:tcW w:w="0" w:type="auto"/>
            <w:tcBorders>
              <w:top w:val="single" w:sz="4" w:space="0" w:color="auto"/>
              <w:left w:val="single" w:sz="4" w:space="0" w:color="auto"/>
              <w:bottom w:val="single" w:sz="4" w:space="0" w:color="auto"/>
              <w:right w:val="single" w:sz="4" w:space="0" w:color="auto"/>
            </w:tcBorders>
            <w:hideMark/>
          </w:tcPr>
          <w:p w14:paraId="2956AC66" w14:textId="77777777" w:rsidR="009413BF" w:rsidRPr="009413BF" w:rsidRDefault="009413BF" w:rsidP="009413BF">
            <w:pPr>
              <w:spacing w:after="160" w:line="278" w:lineRule="auto"/>
            </w:pPr>
            <w:r w:rsidRPr="009413BF">
              <w:t>Multilayer Perceptron</w:t>
            </w:r>
          </w:p>
        </w:tc>
        <w:tc>
          <w:tcPr>
            <w:tcW w:w="0" w:type="auto"/>
            <w:tcBorders>
              <w:top w:val="single" w:sz="4" w:space="0" w:color="auto"/>
              <w:left w:val="single" w:sz="4" w:space="0" w:color="auto"/>
              <w:bottom w:val="single" w:sz="4" w:space="0" w:color="auto"/>
              <w:right w:val="single" w:sz="4" w:space="0" w:color="auto"/>
            </w:tcBorders>
            <w:hideMark/>
          </w:tcPr>
          <w:p w14:paraId="7D208903" w14:textId="77777777" w:rsidR="009413BF" w:rsidRPr="009413BF" w:rsidRDefault="009413BF" w:rsidP="009413BF">
            <w:pPr>
              <w:spacing w:after="160" w:line="278" w:lineRule="auto"/>
            </w:pPr>
            <w:r w:rsidRPr="009413BF">
              <w:t>IDS benchmarks</w:t>
            </w:r>
          </w:p>
        </w:tc>
        <w:tc>
          <w:tcPr>
            <w:tcW w:w="0" w:type="auto"/>
            <w:tcBorders>
              <w:top w:val="single" w:sz="4" w:space="0" w:color="auto"/>
              <w:left w:val="single" w:sz="4" w:space="0" w:color="auto"/>
              <w:bottom w:val="single" w:sz="4" w:space="0" w:color="auto"/>
              <w:right w:val="single" w:sz="4" w:space="0" w:color="auto"/>
            </w:tcBorders>
            <w:hideMark/>
          </w:tcPr>
          <w:p w14:paraId="64352EA0" w14:textId="77777777" w:rsidR="009413BF" w:rsidRPr="009413BF" w:rsidRDefault="009413BF" w:rsidP="009413BF">
            <w:pPr>
              <w:spacing w:after="160" w:line="278" w:lineRule="auto"/>
            </w:pPr>
            <w:r w:rsidRPr="009413BF">
              <w:t>99.99% accuracy</w:t>
            </w:r>
          </w:p>
        </w:tc>
      </w:tr>
      <w:tr w:rsidR="009413BF" w:rsidRPr="009413BF" w14:paraId="4A704DC9" w14:textId="77777777">
        <w:tc>
          <w:tcPr>
            <w:tcW w:w="0" w:type="auto"/>
            <w:tcBorders>
              <w:top w:val="single" w:sz="4" w:space="0" w:color="auto"/>
              <w:left w:val="single" w:sz="4" w:space="0" w:color="auto"/>
              <w:bottom w:val="single" w:sz="4" w:space="0" w:color="auto"/>
              <w:right w:val="single" w:sz="4" w:space="0" w:color="auto"/>
            </w:tcBorders>
            <w:hideMark/>
          </w:tcPr>
          <w:p w14:paraId="33AC829C" w14:textId="77777777" w:rsidR="009413BF" w:rsidRPr="009413BF" w:rsidRDefault="009413BF" w:rsidP="009413BF">
            <w:pPr>
              <w:spacing w:after="160" w:line="278" w:lineRule="auto"/>
            </w:pPr>
            <w:proofErr w:type="spellStart"/>
            <w:r w:rsidRPr="009413BF">
              <w:lastRenderedPageBreak/>
              <w:t>Makhdoomi</w:t>
            </w:r>
            <w:proofErr w:type="spellEnd"/>
            <w:r w:rsidRPr="009413BF">
              <w:t xml:space="preserve"> et al., 2025</w:t>
            </w:r>
          </w:p>
        </w:tc>
        <w:tc>
          <w:tcPr>
            <w:tcW w:w="0" w:type="auto"/>
            <w:tcBorders>
              <w:top w:val="single" w:sz="4" w:space="0" w:color="auto"/>
              <w:left w:val="single" w:sz="4" w:space="0" w:color="auto"/>
              <w:bottom w:val="single" w:sz="4" w:space="0" w:color="auto"/>
              <w:right w:val="single" w:sz="4" w:space="0" w:color="auto"/>
            </w:tcBorders>
            <w:hideMark/>
          </w:tcPr>
          <w:p w14:paraId="7C1B56B0" w14:textId="77777777" w:rsidR="009413BF" w:rsidRPr="009413BF" w:rsidRDefault="009413BF" w:rsidP="009413BF">
            <w:pPr>
              <w:spacing w:after="160" w:line="278" w:lineRule="auto"/>
            </w:pPr>
            <w:r w:rsidRPr="009413BF">
              <w:t>Ensemble / Adaptive IDS</w:t>
            </w:r>
          </w:p>
        </w:tc>
        <w:tc>
          <w:tcPr>
            <w:tcW w:w="0" w:type="auto"/>
            <w:tcBorders>
              <w:top w:val="single" w:sz="4" w:space="0" w:color="auto"/>
              <w:left w:val="single" w:sz="4" w:space="0" w:color="auto"/>
              <w:bottom w:val="single" w:sz="4" w:space="0" w:color="auto"/>
              <w:right w:val="single" w:sz="4" w:space="0" w:color="auto"/>
            </w:tcBorders>
            <w:hideMark/>
          </w:tcPr>
          <w:p w14:paraId="3FD98ABC" w14:textId="77777777" w:rsidR="009413BF" w:rsidRPr="009413BF" w:rsidRDefault="009413BF" w:rsidP="009413BF">
            <w:pPr>
              <w:spacing w:after="160" w:line="278" w:lineRule="auto"/>
            </w:pPr>
            <w:r w:rsidRPr="009413BF">
              <w:t>ML Ensembles, FL</w:t>
            </w:r>
          </w:p>
        </w:tc>
        <w:tc>
          <w:tcPr>
            <w:tcW w:w="0" w:type="auto"/>
            <w:tcBorders>
              <w:top w:val="single" w:sz="4" w:space="0" w:color="auto"/>
              <w:left w:val="single" w:sz="4" w:space="0" w:color="auto"/>
              <w:bottom w:val="single" w:sz="4" w:space="0" w:color="auto"/>
              <w:right w:val="single" w:sz="4" w:space="0" w:color="auto"/>
            </w:tcBorders>
            <w:hideMark/>
          </w:tcPr>
          <w:p w14:paraId="17AC1E40" w14:textId="77777777" w:rsidR="009413BF" w:rsidRPr="009413BF" w:rsidRDefault="009413BF" w:rsidP="009413BF">
            <w:pPr>
              <w:spacing w:after="160" w:line="278" w:lineRule="auto"/>
            </w:pPr>
            <w:r w:rsidRPr="009413BF">
              <w:t>Dynamic environments</w:t>
            </w:r>
          </w:p>
        </w:tc>
        <w:tc>
          <w:tcPr>
            <w:tcW w:w="0" w:type="auto"/>
            <w:tcBorders>
              <w:top w:val="single" w:sz="4" w:space="0" w:color="auto"/>
              <w:left w:val="single" w:sz="4" w:space="0" w:color="auto"/>
              <w:bottom w:val="single" w:sz="4" w:space="0" w:color="auto"/>
              <w:right w:val="single" w:sz="4" w:space="0" w:color="auto"/>
            </w:tcBorders>
            <w:hideMark/>
          </w:tcPr>
          <w:p w14:paraId="41112975" w14:textId="77777777" w:rsidR="009413BF" w:rsidRPr="009413BF" w:rsidRDefault="009413BF" w:rsidP="009413BF">
            <w:pPr>
              <w:spacing w:after="160" w:line="278" w:lineRule="auto"/>
            </w:pPr>
            <w:r w:rsidRPr="009413BF">
              <w:t>Improved adaptability</w:t>
            </w:r>
          </w:p>
        </w:tc>
      </w:tr>
    </w:tbl>
    <w:p w14:paraId="51650185" w14:textId="77777777" w:rsidR="009413BF" w:rsidRPr="009413BF" w:rsidRDefault="009413BF" w:rsidP="009413BF">
      <w:r w:rsidRPr="009413BF">
        <w:t xml:space="preserve"> </w:t>
      </w:r>
    </w:p>
    <w:p w14:paraId="00228FD0" w14:textId="2F9F78C2" w:rsidR="009413BF" w:rsidRDefault="009413BF">
      <w:r w:rsidRPr="009413BF">
        <w:t>The intrusion detection systems (IDS) in decentralized IoT and blockchain networks have to deal with difficulties arising from heterogeneous devices and a limited supply of resources. The constrained processing of IoT networks makes them more susceptible to attacks. The hybrid IDS architectures that combine blockchain with decentralized detection, thus allowing distributed deployment, have been proposed (Liang et al., 2020). Besides, while blockchain offers a secure storage system through its unalterable nature, the issue of slow processing remains to be a drawback. Directed acyclic graphs (DAGs), which emerge as a new way of thinking about IoT, catch lots of attention from researchers for their lightweight nature (Bhandary et al., 2020; Rakovic et al., 2019). On the other hand, applying machine learning along with blockchain-based IDS not only provides an effective detection method but also an automated anomaly identification process (</w:t>
      </w:r>
      <w:proofErr w:type="spellStart"/>
      <w:r w:rsidRPr="009413BF">
        <w:t>Ahakonye</w:t>
      </w:r>
      <w:proofErr w:type="spellEnd"/>
      <w:r w:rsidRPr="009413BF">
        <w:t xml:space="preserve"> et al., 2024; </w:t>
      </w:r>
      <w:proofErr w:type="spellStart"/>
      <w:r w:rsidRPr="009413BF">
        <w:t>Atlam</w:t>
      </w:r>
      <w:proofErr w:type="spellEnd"/>
      <w:r w:rsidRPr="009413BF">
        <w:t xml:space="preserve"> et al., 2020). On the downside, however, the solutions are still restricted by blockchain computation costs (Fadhil &amp; </w:t>
      </w:r>
      <w:proofErr w:type="spellStart"/>
      <w:r w:rsidRPr="009413BF">
        <w:t>Zeebaree</w:t>
      </w:r>
      <w:proofErr w:type="spellEnd"/>
      <w:r w:rsidRPr="009413BF">
        <w:t>, 2024; Meng et al., 2018) and resource limitation effectively prevents the deployment of ML on edge devices (Szymoniak et al., 2025).</w:t>
      </w:r>
    </w:p>
    <w:p w14:paraId="62178BCC" w14:textId="579D8470" w:rsidR="009413BF" w:rsidRDefault="009413BF">
      <w:r w:rsidRPr="009413BF">
        <w:t xml:space="preserve">Anomaly-based, statistical, and learning-driven solutions effectively enhance the conventional intrusion detection systems in detecting constantly evolving attacks. Anomaly-based detection systems identify incursions by creating a model of normal </w:t>
      </w:r>
      <w:proofErr w:type="spellStart"/>
      <w:r w:rsidRPr="009413BF">
        <w:t>behavior</w:t>
      </w:r>
      <w:proofErr w:type="spellEnd"/>
      <w:r w:rsidRPr="009413BF">
        <w:t xml:space="preserve"> in the specific system. A great variety of deep learning detectors such as CNNs and autoencoders show better processing and applying to unknown </w:t>
      </w:r>
      <w:proofErr w:type="spellStart"/>
      <w:proofErr w:type="gramStart"/>
      <w:r w:rsidRPr="009413BF">
        <w:t>attacks.In</w:t>
      </w:r>
      <w:proofErr w:type="spellEnd"/>
      <w:proofErr w:type="gramEnd"/>
      <w:r w:rsidRPr="009413BF">
        <w:t xml:space="preserve"> the study of Ibrahim Hairab et al. (2023), CNN models were utilized in IoT settings and demonstrated their capability to efficiently recognize zero-day attacks, while on the other hand, CNN-autoencoder frameworks have the potential for detection without major requirements for </w:t>
      </w:r>
      <w:proofErr w:type="spellStart"/>
      <w:r w:rsidRPr="009413BF">
        <w:t>labeled</w:t>
      </w:r>
      <w:proofErr w:type="spellEnd"/>
      <w:r w:rsidRPr="009413BF">
        <w:t xml:space="preserve"> data (Yoshimura et al., 2022). On the other hand, statistical methods employ probabilistic </w:t>
      </w:r>
      <w:proofErr w:type="spellStart"/>
      <w:r w:rsidRPr="009413BF">
        <w:t>modeling</w:t>
      </w:r>
      <w:proofErr w:type="spellEnd"/>
      <w:r w:rsidRPr="009413BF">
        <w:t xml:space="preserve"> to spot </w:t>
      </w:r>
      <w:proofErr w:type="spellStart"/>
      <w:r w:rsidRPr="009413BF">
        <w:t>behavioral</w:t>
      </w:r>
      <w:proofErr w:type="spellEnd"/>
      <w:r w:rsidRPr="009413BF">
        <w:t xml:space="preserve"> deviations (Mehdi et al., 2007; Zaman &amp; Lung, 2018). Unsupervised learning approaches are effective in detecting zero-day attacks in </w:t>
      </w:r>
      <w:proofErr w:type="spellStart"/>
      <w:r w:rsidRPr="009413BF">
        <w:t>unlabeled</w:t>
      </w:r>
      <w:proofErr w:type="spellEnd"/>
      <w:r w:rsidRPr="009413BF">
        <w:t xml:space="preserve"> data (Meira et al., 2019; N. Sharma et al., 2024). By using the combined models, the detection accuracy can go up to 99.5% in industrial settings (Ullah &amp; Mahmoud, 2017), and the federated learning only gives joint adaptation of IDS with 86% accuracy (Jin et al., 2023).</w:t>
      </w:r>
    </w:p>
    <w:p w14:paraId="1B200120" w14:textId="304E38C9" w:rsidR="009413BF" w:rsidRDefault="009413BF">
      <w:r w:rsidRPr="009413BF">
        <w:t>IDS (Intrusion detection system) research is facing difficulties in the area of decentralized environments. Scalability still limits the situation as the classic IDS cannot deal with the huge amounts of data and the ML and DL methods cause high computational costs in the IoT. Federated learning is being affected by the different kinds of data (</w:t>
      </w:r>
      <w:proofErr w:type="spellStart"/>
      <w:r w:rsidRPr="009413BF">
        <w:t>Khraisat</w:t>
      </w:r>
      <w:proofErr w:type="spellEnd"/>
      <w:r w:rsidRPr="009413BF">
        <w:t xml:space="preserve"> et al., 2024), and blockchain-based IDS are introducing a delay in </w:t>
      </w:r>
      <w:r w:rsidRPr="009413BF">
        <w:lastRenderedPageBreak/>
        <w:t xml:space="preserve">the computation (Meng et al., 2018). The IDS models are not very good at adapting to the new types of attacks and they show signs of overfitting even though the evolutionary learning has improved (Mutalib et al., 2024; A. Sharma et al., 2024; </w:t>
      </w:r>
      <w:proofErr w:type="spellStart"/>
      <w:r w:rsidRPr="009413BF">
        <w:t>Alhakami</w:t>
      </w:r>
      <w:proofErr w:type="spellEnd"/>
      <w:r w:rsidRPr="009413BF">
        <w:t>, 2024). IDS testing is based on data that are not very representative of real life and there are no common metrics (</w:t>
      </w:r>
      <w:proofErr w:type="spellStart"/>
      <w:r w:rsidRPr="009413BF">
        <w:t>Makhdoomi</w:t>
      </w:r>
      <w:proofErr w:type="spellEnd"/>
      <w:r w:rsidRPr="009413BF">
        <w:t xml:space="preserve"> et al., 2025; Mohale &amp; </w:t>
      </w:r>
      <w:proofErr w:type="spellStart"/>
      <w:r w:rsidRPr="009413BF">
        <w:t>Obagbuwa</w:t>
      </w:r>
      <w:proofErr w:type="spellEnd"/>
      <w:r w:rsidRPr="009413BF">
        <w:t xml:space="preserve">, 2025). On the other hand, anomaly-based and explainable AI solutions could identify zero-day attacks, but they are not able to be both efficient and accurate at the same time (Mohale &amp; </w:t>
      </w:r>
      <w:proofErr w:type="spellStart"/>
      <w:r w:rsidRPr="009413BF">
        <w:t>Obagbuwa</w:t>
      </w:r>
      <w:proofErr w:type="spellEnd"/>
      <w:r w:rsidRPr="009413BF">
        <w:t>, 2025; Mutalib et al., 2024).</w:t>
      </w:r>
    </w:p>
    <w:p w14:paraId="0FE46DE2" w14:textId="3F8A8475" w:rsidR="009413BF" w:rsidRDefault="009413BF">
      <w:r w:rsidRPr="009413BF">
        <w:br/>
        <w:t>The researchers have pointed out mainly four gaps in the literature:</w:t>
      </w:r>
      <w:r w:rsidRPr="009413BF">
        <w:br/>
        <w:t>• Scalability in a large-scale decentralized environment is limited (</w:t>
      </w:r>
      <w:proofErr w:type="spellStart"/>
      <w:r w:rsidRPr="009413BF">
        <w:t>Khraisat</w:t>
      </w:r>
      <w:proofErr w:type="spellEnd"/>
      <w:r w:rsidRPr="009413BF">
        <w:t xml:space="preserve"> et al., 2024);</w:t>
      </w:r>
      <w:r w:rsidRPr="009413BF">
        <w:br/>
        <w:t xml:space="preserve">• Adaptation to evolving and zero-day attacks is insufficient (Mutalib et al., 2024; A. Sharma et al., 2024; </w:t>
      </w:r>
      <w:proofErr w:type="spellStart"/>
      <w:r w:rsidRPr="009413BF">
        <w:t>Alhakami</w:t>
      </w:r>
      <w:proofErr w:type="spellEnd"/>
      <w:r w:rsidRPr="009413BF">
        <w:t>, 2024);</w:t>
      </w:r>
      <w:r w:rsidRPr="009413BF">
        <w:br/>
        <w:t>• Trust management and overhead in blockchain-integrated IDS are challenges (Meng et al., 2018);</w:t>
      </w:r>
      <w:r w:rsidRPr="009413BF">
        <w:br/>
        <w:t>• There is a lack of realistic evaluation and open-set testing practices (</w:t>
      </w:r>
      <w:proofErr w:type="spellStart"/>
      <w:r w:rsidRPr="009413BF">
        <w:t>Makhdoomi</w:t>
      </w:r>
      <w:proofErr w:type="spellEnd"/>
      <w:r w:rsidRPr="009413BF">
        <w:t xml:space="preserve"> et al., 2025; Mohale &amp; </w:t>
      </w:r>
      <w:proofErr w:type="spellStart"/>
      <w:r w:rsidRPr="009413BF">
        <w:t>Obagbuwa</w:t>
      </w:r>
      <w:proofErr w:type="spellEnd"/>
      <w:r w:rsidRPr="009413BF">
        <w:t>, 2025)</w:t>
      </w:r>
    </w:p>
    <w:p w14:paraId="4C993274" w14:textId="77777777" w:rsidR="009413BF" w:rsidRDefault="009413BF"/>
    <w:p w14:paraId="7D75A79D" w14:textId="77777777" w:rsidR="009413BF" w:rsidRDefault="009413BF"/>
    <w:sectPr w:rsidR="00941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3BF"/>
    <w:rsid w:val="004377E8"/>
    <w:rsid w:val="00452F4C"/>
    <w:rsid w:val="00821DBE"/>
    <w:rsid w:val="009413BF"/>
    <w:rsid w:val="00D93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6537"/>
  <w15:chartTrackingRefBased/>
  <w15:docId w15:val="{25DC1354-F7D6-4A82-B513-DB782431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3BF"/>
    <w:rPr>
      <w:rFonts w:eastAsiaTheme="majorEastAsia" w:cstheme="majorBidi"/>
      <w:color w:val="272727" w:themeColor="text1" w:themeTint="D8"/>
    </w:rPr>
  </w:style>
  <w:style w:type="paragraph" w:styleId="Title">
    <w:name w:val="Title"/>
    <w:basedOn w:val="Normal"/>
    <w:next w:val="Normal"/>
    <w:link w:val="TitleChar"/>
    <w:uiPriority w:val="10"/>
    <w:qFormat/>
    <w:rsid w:val="00941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3BF"/>
    <w:pPr>
      <w:spacing w:before="160"/>
      <w:jc w:val="center"/>
    </w:pPr>
    <w:rPr>
      <w:i/>
      <w:iCs/>
      <w:color w:val="404040" w:themeColor="text1" w:themeTint="BF"/>
    </w:rPr>
  </w:style>
  <w:style w:type="character" w:customStyle="1" w:styleId="QuoteChar">
    <w:name w:val="Quote Char"/>
    <w:basedOn w:val="DefaultParagraphFont"/>
    <w:link w:val="Quote"/>
    <w:uiPriority w:val="29"/>
    <w:rsid w:val="009413BF"/>
    <w:rPr>
      <w:i/>
      <w:iCs/>
      <w:color w:val="404040" w:themeColor="text1" w:themeTint="BF"/>
    </w:rPr>
  </w:style>
  <w:style w:type="paragraph" w:styleId="ListParagraph">
    <w:name w:val="List Paragraph"/>
    <w:basedOn w:val="Normal"/>
    <w:uiPriority w:val="34"/>
    <w:qFormat/>
    <w:rsid w:val="009413BF"/>
    <w:pPr>
      <w:ind w:left="720"/>
      <w:contextualSpacing/>
    </w:pPr>
  </w:style>
  <w:style w:type="character" w:styleId="IntenseEmphasis">
    <w:name w:val="Intense Emphasis"/>
    <w:basedOn w:val="DefaultParagraphFont"/>
    <w:uiPriority w:val="21"/>
    <w:qFormat/>
    <w:rsid w:val="009413BF"/>
    <w:rPr>
      <w:i/>
      <w:iCs/>
      <w:color w:val="0F4761" w:themeColor="accent1" w:themeShade="BF"/>
    </w:rPr>
  </w:style>
  <w:style w:type="paragraph" w:styleId="IntenseQuote">
    <w:name w:val="Intense Quote"/>
    <w:basedOn w:val="Normal"/>
    <w:next w:val="Normal"/>
    <w:link w:val="IntenseQuoteChar"/>
    <w:uiPriority w:val="30"/>
    <w:qFormat/>
    <w:rsid w:val="00941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3BF"/>
    <w:rPr>
      <w:i/>
      <w:iCs/>
      <w:color w:val="0F4761" w:themeColor="accent1" w:themeShade="BF"/>
    </w:rPr>
  </w:style>
  <w:style w:type="character" w:styleId="IntenseReference">
    <w:name w:val="Intense Reference"/>
    <w:basedOn w:val="DefaultParagraphFont"/>
    <w:uiPriority w:val="32"/>
    <w:qFormat/>
    <w:rsid w:val="009413BF"/>
    <w:rPr>
      <w:b/>
      <w:bCs/>
      <w:smallCaps/>
      <w:color w:val="0F4761" w:themeColor="accent1" w:themeShade="BF"/>
      <w:spacing w:val="5"/>
    </w:rPr>
  </w:style>
  <w:style w:type="table" w:styleId="TableGrid">
    <w:name w:val="Table Grid"/>
    <w:basedOn w:val="TableNormal"/>
    <w:uiPriority w:val="39"/>
    <w:rsid w:val="00941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Sharvil Naikwade</dc:creator>
  <cp:keywords/>
  <dc:description/>
  <cp:lastModifiedBy>Sharvil Naikwade</cp:lastModifiedBy>
  <cp:revision>1</cp:revision>
  <dcterms:created xsi:type="dcterms:W3CDTF">2026-01-20T11:06:00Z</dcterms:created>
  <dcterms:modified xsi:type="dcterms:W3CDTF">2026-01-20T11:25:00Z</dcterms:modified>
</cp:coreProperties>
</file>