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INDUSTRIAL-GRADE ALGORITHMIC TRADING EA</w:t>
      </w:r>
    </w:p>
    <w:p>
      <w:pPr>
        <w:jc w:val="center"/>
      </w:pPr>
      <w:r>
        <w:rPr>
          <w:b/>
        </w:rPr>
        <w:t>Backtest, Optimization, and Out-of-Sample Evaluation Report</w:t>
      </w:r>
    </w:p>
    <w:p>
      <w:pPr>
        <w:jc w:val="center"/>
      </w:pPr>
      <w:r>
        <w:rPr>
          <w:i/>
        </w:rPr>
        <w:t>MetaTrader 5 | Exness | H1 | Every Tick Based on Real Ticks</w:t>
      </w:r>
    </w:p>
    <w:p>
      <w:pPr>
        <w:pStyle w:val="Heading1"/>
      </w:pPr>
      <w:r>
        <w:t>Abstract</w:t>
      </w:r>
    </w:p>
    <w:p>
      <w:r>
        <w:t>This project develops and evaluates an Expert Advisor (EA) for MetaTrader 5. The strategy uses trend following and pullback confirmation with EMA, RSI, and ATR indicators. Risk management includes percentage-based position sizing, a monthly loss limit, break-even protection, and ATR-based trailing stops. The EA does not use martingale, grid trading, or HFT.</w:t>
      </w:r>
    </w:p>
    <w:p>
      <w:r>
        <w:t>The selected parameter set was Fast EMA 50, Slow EMA 300, RSI buy level 46, RSI sell level 56, stop-loss ATR multiplier 1.75, and take-profit ATR multiplier 2.50. Tests used USD 10,000 initial balance and 1:1 leverage in the MT5 Strategy Tester.</w:t>
      </w:r>
    </w:p>
    <w:p>
      <w:r>
        <w:t>The results show that performance depends strongly on the instrument. USDCHF and USDCAD produced positive out-of-sample returns, while several other instruments produced small or large losses.</w:t>
      </w:r>
    </w:p>
    <w:p>
      <w:pPr>
        <w:pStyle w:val="Heading1"/>
      </w:pPr>
      <w:r>
        <w:t>1. Introduction</w:t>
      </w:r>
    </w:p>
    <w:p>
      <w:r>
        <w:t>Algorithmic trading uses programmed rules to execute and manage trades consistently. An Expert Advisor in MetaTrader 5 can apply the same rules repeatedly and can be evaluated on historical market data before further use.</w:t>
      </w:r>
    </w:p>
    <w:p>
      <w:r>
        <w:t>The purpose of this project is to develop an industrial-grade EA with clear entry rules, risk management, and systematic testing across different financial instruments.</w:t>
      </w:r>
    </w:p>
    <w:p>
      <w:pPr>
        <w:pStyle w:val="Heading1"/>
      </w:pPr>
      <w:r>
        <w:t>2. Project Requirements</w:t>
      </w:r>
    </w:p>
    <w:p>
      <w:pPr>
        <w:pStyle w:val="ListBullet"/>
      </w:pPr>
      <w:r>
        <w:t>Platform: MetaTrader 5</w:t>
      </w:r>
    </w:p>
    <w:p>
      <w:pPr>
        <w:pStyle w:val="ListBullet"/>
      </w:pPr>
      <w:r>
        <w:t>Broker/data environment: Exness</w:t>
      </w:r>
    </w:p>
    <w:p>
      <w:pPr>
        <w:pStyle w:val="ListBullet"/>
      </w:pPr>
      <w:r>
        <w:t>Initial testing balance: USD 10,000</w:t>
      </w:r>
    </w:p>
    <w:p>
      <w:pPr>
        <w:pStyle w:val="ListBullet"/>
      </w:pPr>
      <w:r>
        <w:t>Leverage used in the tester: 1:1</w:t>
      </w:r>
    </w:p>
    <w:p>
      <w:pPr>
        <w:pStyle w:val="ListBullet"/>
      </w:pPr>
      <w:r>
        <w:t>Timeframe: H1</w:t>
      </w:r>
    </w:p>
    <w:p>
      <w:pPr>
        <w:pStyle w:val="ListBullet"/>
      </w:pPr>
      <w:r>
        <w:t>Testing model: Every tick based on real ticks</w:t>
      </w:r>
    </w:p>
    <w:p>
      <w:pPr>
        <w:pStyle w:val="ListBullet"/>
      </w:pPr>
      <w:r>
        <w:t>No martingale, grid trading, or HFT</w:t>
      </w:r>
    </w:p>
    <w:p>
      <w:pPr>
        <w:pStyle w:val="ListBullet"/>
      </w:pPr>
      <w:r>
        <w:t>Target monthly return: approximately 3%–5%</w:t>
      </w:r>
    </w:p>
    <w:p>
      <w:pPr>
        <w:pStyle w:val="ListBullet"/>
      </w:pPr>
      <w:r>
        <w:t>Target maximum drawdown: approximately 25%–30%</w:t>
      </w:r>
    </w:p>
    <w:p>
      <w:pPr>
        <w:pStyle w:val="ListBullet"/>
      </w:pPr>
      <w:r>
        <w:t>Target annual return: approximately 50%–70%</w:t>
      </w:r>
    </w:p>
    <w:p>
      <w:pPr>
        <w:pStyle w:val="ListBullet"/>
      </w:pPr>
      <w:r>
        <w:t>Target of no more than six losing months in one year</w:t>
      </w:r>
    </w:p>
    <w:p>
      <w:pPr>
        <w:pStyle w:val="ListBullet"/>
      </w:pPr>
      <w:r>
        <w:t>Include source code, backtesting, optimization, and a report</w:t>
      </w:r>
    </w:p>
    <w:p>
      <w:r>
        <w:t>The return and drawdown values are project targets rather than guaranteed results. The actual results are reported without changing the strategy simply to force the targets.</w:t>
      </w:r>
    </w:p>
    <w:p>
      <w:pPr>
        <w:pStyle w:val="Heading1"/>
      </w:pPr>
      <w:r>
        <w:t>3. Strategy Design</w:t>
      </w:r>
    </w:p>
    <w:p>
      <w:r>
        <w:t>The EA uses a trend-following pullback approach. The trend is identified using a fast EMA and a slow EMA. RSI confirms a pullback and return toward the trend. ATR adjusts stop-loss and take-profit distances according to market volatility.</w:t>
      </w:r>
    </w:p>
    <w:p>
      <w:pPr>
        <w:pStyle w:val="Heading2"/>
      </w:pPr>
      <w:r>
        <w:t>3.1 Entry Logic</w:t>
      </w:r>
    </w:p>
    <w:p>
      <w:pPr>
        <w:pStyle w:val="ListBullet"/>
      </w:pPr>
      <w:r>
        <w:t>Buy: Fast EMA is above Slow EMA, price is above Fast EMA, and RSI crosses upward from below the buy threshold.</w:t>
      </w:r>
    </w:p>
    <w:p>
      <w:pPr>
        <w:pStyle w:val="ListBullet"/>
      </w:pPr>
      <w:r>
        <w:t>Sell: Fast EMA is below Slow EMA, price is below Fast EMA, and RSI crosses downward from above the sell threshold.</w:t>
      </w:r>
    </w:p>
    <w:p>
      <w:pPr>
        <w:pStyle w:val="ListBullet"/>
      </w:pPr>
      <w:r>
        <w:t>Entries are evaluated on new H1 bars.</w:t>
      </w:r>
    </w:p>
    <w:p>
      <w:pPr>
        <w:pStyle w:val="Heading2"/>
      </w:pPr>
      <w:r>
        <w:t>3.2 Risk Management</w:t>
      </w:r>
    </w:p>
    <w:p>
      <w:pPr>
        <w:pStyle w:val="ListBullet"/>
      </w:pPr>
      <w:r>
        <w:t>Risk per trade: 0.50% of equity.</w:t>
      </w:r>
    </w:p>
    <w:p>
      <w:pPr>
        <w:pStyle w:val="ListBullet"/>
      </w:pPr>
      <w:r>
        <w:t>One position per symbol.</w:t>
      </w:r>
    </w:p>
    <w:p>
      <w:pPr>
        <w:pStyle w:val="ListBullet"/>
      </w:pPr>
      <w:r>
        <w:t>ATR-based stop-loss and take-profit.</w:t>
      </w:r>
    </w:p>
    <w:p>
      <w:pPr>
        <w:pStyle w:val="ListBullet"/>
      </w:pPr>
      <w:r>
        <w:t>Break-even protection after a favorable movement.</w:t>
      </w:r>
    </w:p>
    <w:p>
      <w:pPr>
        <w:pStyle w:val="ListBullet"/>
      </w:pPr>
      <w:r>
        <w:t>ATR trailing stop for open positions.</w:t>
      </w:r>
    </w:p>
    <w:p>
      <w:pPr>
        <w:pStyle w:val="ListBullet"/>
      </w:pPr>
      <w:r>
        <w:t>New entries are blocked after the monthly loss limit is reached.</w:t>
      </w:r>
    </w:p>
    <w:p>
      <w:pPr>
        <w:pStyle w:val="Heading1"/>
      </w:pPr>
      <w:r>
        <w:t>4. Final Parameters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16"/>
              </w:rPr>
              <w:t>Parameter</w:t>
            </w:r>
          </w:p>
        </w:tc>
        <w:tc>
          <w:tcPr>
            <w:tcW w:type="dxa" w:w="4320"/>
          </w:tcPr>
          <w:p>
            <w:r>
              <w:rPr>
                <w:rFonts w:ascii="Arial" w:hAnsi="Arial"/>
                <w:sz w:val="16"/>
              </w:rPr>
              <w:t>Value</w:t>
            </w:r>
          </w:p>
        </w:tc>
      </w:tr>
      <w:tr>
        <w:tc>
          <w:tcPr>
            <w:tcW w:type="dxa" w:w="4320"/>
          </w:tcPr>
          <w:p>
            <w:r>
              <w:rPr>
                <w:rFonts w:ascii="Arial" w:hAnsi="Arial"/>
                <w:sz w:val="16"/>
              </w:rPr>
              <w:t>Fast EMA</w:t>
            </w:r>
          </w:p>
        </w:tc>
        <w:tc>
          <w:tcPr>
            <w:tcW w:type="dxa" w:w="4320"/>
          </w:tcPr>
          <w:p>
            <w:r>
              <w:rPr>
                <w:rFonts w:ascii="Arial" w:hAnsi="Arial"/>
                <w:sz w:val="16"/>
              </w:rPr>
              <w:t>50</w:t>
            </w:r>
          </w:p>
        </w:tc>
      </w:tr>
      <w:tr>
        <w:tc>
          <w:tcPr>
            <w:tcW w:type="dxa" w:w="4320"/>
          </w:tcPr>
          <w:p>
            <w:r>
              <w:rPr>
                <w:rFonts w:ascii="Arial" w:hAnsi="Arial"/>
                <w:sz w:val="16"/>
              </w:rPr>
              <w:t>Slow EMA</w:t>
            </w:r>
          </w:p>
        </w:tc>
        <w:tc>
          <w:tcPr>
            <w:tcW w:type="dxa" w:w="4320"/>
          </w:tcPr>
          <w:p>
            <w:r>
              <w:rPr>
                <w:rFonts w:ascii="Arial" w:hAnsi="Arial"/>
                <w:sz w:val="16"/>
              </w:rPr>
              <w:t>300</w:t>
            </w:r>
          </w:p>
        </w:tc>
      </w:tr>
      <w:tr>
        <w:tc>
          <w:tcPr>
            <w:tcW w:type="dxa" w:w="4320"/>
          </w:tcPr>
          <w:p>
            <w:r>
              <w:rPr>
                <w:rFonts w:ascii="Arial" w:hAnsi="Arial"/>
                <w:sz w:val="16"/>
              </w:rPr>
              <w:t>RSI Period</w:t>
            </w:r>
          </w:p>
        </w:tc>
        <w:tc>
          <w:tcPr>
            <w:tcW w:type="dxa" w:w="4320"/>
          </w:tcPr>
          <w:p>
            <w:r>
              <w:rPr>
                <w:rFonts w:ascii="Arial" w:hAnsi="Arial"/>
                <w:sz w:val="16"/>
              </w:rPr>
              <w:t>14</w:t>
            </w:r>
          </w:p>
        </w:tc>
      </w:tr>
      <w:tr>
        <w:tc>
          <w:tcPr>
            <w:tcW w:type="dxa" w:w="4320"/>
          </w:tcPr>
          <w:p>
            <w:r>
              <w:rPr>
                <w:rFonts w:ascii="Arial" w:hAnsi="Arial"/>
                <w:sz w:val="16"/>
              </w:rPr>
              <w:t>RSI Buy Level</w:t>
            </w:r>
          </w:p>
        </w:tc>
        <w:tc>
          <w:tcPr>
            <w:tcW w:type="dxa" w:w="4320"/>
          </w:tcPr>
          <w:p>
            <w:r>
              <w:rPr>
                <w:rFonts w:ascii="Arial" w:hAnsi="Arial"/>
                <w:sz w:val="16"/>
              </w:rPr>
              <w:t>46</w:t>
            </w:r>
          </w:p>
        </w:tc>
      </w:tr>
      <w:tr>
        <w:tc>
          <w:tcPr>
            <w:tcW w:type="dxa" w:w="4320"/>
          </w:tcPr>
          <w:p>
            <w:r>
              <w:rPr>
                <w:rFonts w:ascii="Arial" w:hAnsi="Arial"/>
                <w:sz w:val="16"/>
              </w:rPr>
              <w:t>RSI Sell Level</w:t>
            </w:r>
          </w:p>
        </w:tc>
        <w:tc>
          <w:tcPr>
            <w:tcW w:type="dxa" w:w="4320"/>
          </w:tcPr>
          <w:p>
            <w:r>
              <w:rPr>
                <w:rFonts w:ascii="Arial" w:hAnsi="Arial"/>
                <w:sz w:val="16"/>
              </w:rPr>
              <w:t>56</w:t>
            </w:r>
          </w:p>
        </w:tc>
      </w:tr>
      <w:tr>
        <w:tc>
          <w:tcPr>
            <w:tcW w:type="dxa" w:w="4320"/>
          </w:tcPr>
          <w:p>
            <w:r>
              <w:rPr>
                <w:rFonts w:ascii="Arial" w:hAnsi="Arial"/>
                <w:sz w:val="16"/>
              </w:rPr>
              <w:t>ATR Period</w:t>
            </w:r>
          </w:p>
        </w:tc>
        <w:tc>
          <w:tcPr>
            <w:tcW w:type="dxa" w:w="4320"/>
          </w:tcPr>
          <w:p>
            <w:r>
              <w:rPr>
                <w:rFonts w:ascii="Arial" w:hAnsi="Arial"/>
                <w:sz w:val="16"/>
              </w:rPr>
              <w:t>14</w:t>
            </w:r>
          </w:p>
        </w:tc>
      </w:tr>
      <w:tr>
        <w:tc>
          <w:tcPr>
            <w:tcW w:type="dxa" w:w="4320"/>
          </w:tcPr>
          <w:p>
            <w:r>
              <w:rPr>
                <w:rFonts w:ascii="Arial" w:hAnsi="Arial"/>
                <w:sz w:val="16"/>
              </w:rPr>
              <w:t>Risk per Trade</w:t>
            </w:r>
          </w:p>
        </w:tc>
        <w:tc>
          <w:tcPr>
            <w:tcW w:type="dxa" w:w="4320"/>
          </w:tcPr>
          <w:p>
            <w:r>
              <w:rPr>
                <w:rFonts w:ascii="Arial" w:hAnsi="Arial"/>
                <w:sz w:val="16"/>
              </w:rPr>
              <w:t>0.50%</w:t>
            </w:r>
          </w:p>
        </w:tc>
      </w:tr>
      <w:tr>
        <w:tc>
          <w:tcPr>
            <w:tcW w:type="dxa" w:w="4320"/>
          </w:tcPr>
          <w:p>
            <w:r>
              <w:rPr>
                <w:rFonts w:ascii="Arial" w:hAnsi="Arial"/>
                <w:sz w:val="16"/>
              </w:rPr>
              <w:t>Stop Loss</w:t>
            </w:r>
          </w:p>
        </w:tc>
        <w:tc>
          <w:tcPr>
            <w:tcW w:type="dxa" w:w="4320"/>
          </w:tcPr>
          <w:p>
            <w:r>
              <w:rPr>
                <w:rFonts w:ascii="Arial" w:hAnsi="Arial"/>
                <w:sz w:val="16"/>
              </w:rPr>
              <w:t>1.75 × ATR</w:t>
            </w:r>
          </w:p>
        </w:tc>
      </w:tr>
      <w:tr>
        <w:tc>
          <w:tcPr>
            <w:tcW w:type="dxa" w:w="4320"/>
          </w:tcPr>
          <w:p>
            <w:r>
              <w:rPr>
                <w:rFonts w:ascii="Arial" w:hAnsi="Arial"/>
                <w:sz w:val="16"/>
              </w:rPr>
              <w:t>Take Profit</w:t>
            </w:r>
          </w:p>
        </w:tc>
        <w:tc>
          <w:tcPr>
            <w:tcW w:type="dxa" w:w="4320"/>
          </w:tcPr>
          <w:p>
            <w:r>
              <w:rPr>
                <w:rFonts w:ascii="Arial" w:hAnsi="Arial"/>
                <w:sz w:val="16"/>
              </w:rPr>
              <w:t>2.50 × ATR</w:t>
            </w:r>
          </w:p>
        </w:tc>
      </w:tr>
      <w:tr>
        <w:tc>
          <w:tcPr>
            <w:tcW w:type="dxa" w:w="4320"/>
          </w:tcPr>
          <w:p>
            <w:r>
              <w:rPr>
                <w:rFonts w:ascii="Arial" w:hAnsi="Arial"/>
                <w:sz w:val="16"/>
              </w:rPr>
              <w:t>Maximum Monthly Loss</w:t>
            </w:r>
          </w:p>
        </w:tc>
        <w:tc>
          <w:tcPr>
            <w:tcW w:type="dxa" w:w="4320"/>
          </w:tcPr>
          <w:p>
            <w:r>
              <w:rPr>
                <w:rFonts w:ascii="Arial" w:hAnsi="Arial"/>
                <w:sz w:val="16"/>
              </w:rPr>
              <w:t>5%</w:t>
            </w:r>
          </w:p>
        </w:tc>
      </w:tr>
      <w:tr>
        <w:tc>
          <w:tcPr>
            <w:tcW w:type="dxa" w:w="4320"/>
          </w:tcPr>
          <w:p>
            <w:r>
              <w:rPr>
                <w:rFonts w:ascii="Arial" w:hAnsi="Arial"/>
                <w:sz w:val="16"/>
              </w:rPr>
              <w:t>Maximum Positions per Symbol</w:t>
            </w:r>
          </w:p>
        </w:tc>
        <w:tc>
          <w:tcPr>
            <w:tcW w:type="dxa" w:w="4320"/>
          </w:tcPr>
          <w:p>
            <w:r>
              <w:rPr>
                <w:rFonts w:ascii="Arial" w:hAnsi="Arial"/>
                <w:sz w:val="16"/>
              </w:rPr>
              <w:t>1</w:t>
            </w:r>
          </w:p>
        </w:tc>
      </w:tr>
      <w:tr>
        <w:tc>
          <w:tcPr>
            <w:tcW w:type="dxa" w:w="4320"/>
          </w:tcPr>
          <w:p>
            <w:r>
              <w:rPr>
                <w:rFonts w:ascii="Arial" w:hAnsi="Arial"/>
                <w:sz w:val="16"/>
              </w:rPr>
              <w:t>Break-Even</w:t>
            </w:r>
          </w:p>
        </w:tc>
        <w:tc>
          <w:tcPr>
            <w:tcW w:type="dxa" w:w="4320"/>
          </w:tcPr>
          <w:p>
            <w:r>
              <w:rPr>
                <w:rFonts w:ascii="Arial" w:hAnsi="Arial"/>
                <w:sz w:val="16"/>
              </w:rPr>
              <w:t>Enabled at 1.0 × ATR</w:t>
            </w:r>
          </w:p>
        </w:tc>
      </w:tr>
      <w:tr>
        <w:tc>
          <w:tcPr>
            <w:tcW w:type="dxa" w:w="4320"/>
          </w:tcPr>
          <w:p>
            <w:r>
              <w:rPr>
                <w:rFonts w:ascii="Arial" w:hAnsi="Arial"/>
                <w:sz w:val="16"/>
              </w:rPr>
              <w:t>Trailing Stop</w:t>
            </w:r>
          </w:p>
        </w:tc>
        <w:tc>
          <w:tcPr>
            <w:tcW w:type="dxa" w:w="4320"/>
          </w:tcPr>
          <w:p>
            <w:r>
              <w:rPr>
                <w:rFonts w:ascii="Arial" w:hAnsi="Arial"/>
                <w:sz w:val="16"/>
              </w:rPr>
              <w:t>Enabled at 1.5 × ATR</w:t>
            </w:r>
          </w:p>
        </w:tc>
      </w:tr>
    </w:tbl>
    <w:p>
      <w:pPr>
        <w:pStyle w:val="Heading1"/>
      </w:pPr>
      <w:r>
        <w:t>5. Optimization Method</w:t>
      </w:r>
    </w:p>
    <w:p>
      <w:r>
        <w:t>A chronological optimization approach was used. The earlier part of the historical window was used for optimization, while the later period was kept as an out-of-sample period. Profit Factor was used as the optimization criterion. The search was kept relatively small to reduce unnecessary parameter combinations and overfitting.</w:t>
      </w:r>
    </w:p>
    <w:p>
      <w:r>
        <w:t>The final candidate was Fast EMA 50, Slow EMA 300, RSI buy level 46, RSI sell level 56, SL ATR multiplier 1.75, and TP ATR multiplier 2.50.</w:t>
      </w:r>
    </w:p>
    <w:p>
      <w:pPr>
        <w:pStyle w:val="Heading1"/>
      </w:pPr>
      <w:r>
        <w:t>6. Backtest Method</w:t>
      </w:r>
    </w:p>
    <w:p>
      <w:pPr>
        <w:pStyle w:val="ListBullet"/>
      </w:pPr>
      <w:r>
        <w:t>Out-of-sample period: 24 September 2023 to 23 September 2026.</w:t>
      </w:r>
    </w:p>
    <w:p>
      <w:pPr>
        <w:pStyle w:val="ListBullet"/>
      </w:pPr>
      <w:r>
        <w:t>Timeframe: H1.</w:t>
      </w:r>
    </w:p>
    <w:p>
      <w:pPr>
        <w:pStyle w:val="ListBullet"/>
      </w:pPr>
      <w:r>
        <w:t>Model: Every tick based on real ticks.</w:t>
      </w:r>
    </w:p>
    <w:p>
      <w:pPr>
        <w:pStyle w:val="ListBullet"/>
      </w:pPr>
      <w:r>
        <w:t>Initial balance: USD 10,000.</w:t>
      </w:r>
    </w:p>
    <w:p>
      <w:pPr>
        <w:pStyle w:val="ListBullet"/>
      </w:pPr>
      <w:r>
        <w:t>Leverage: 1:1.</w:t>
      </w:r>
    </w:p>
    <w:p>
      <w:pPr>
        <w:pStyle w:val="ListBullet"/>
      </w:pPr>
      <w:r>
        <w:t>Optimization disabled during OOS tests.</w:t>
      </w:r>
    </w:p>
    <w:p>
      <w:pPr>
        <w:pStyle w:val="ListBullet"/>
      </w:pPr>
      <w:r>
        <w:t>The same selected parameters were used for all instruments.</w:t>
      </w:r>
    </w:p>
    <w:p>
      <w:r>
        <w:t>The reported out-of-sample period is approximately three years. The broader project setup used a seven-year historical window, so these OOS results should not be described as seven-year OOS results.</w:t>
      </w:r>
    </w:p>
    <w:p>
      <w:pPr>
        <w:pStyle w:val="Heading1"/>
      </w:pPr>
      <w:r>
        <w:t>7. Final Instrument Selection</w:t>
      </w:r>
    </w:p>
    <w:p>
      <w:r>
        <w:t>Ten instruments were selected from the completed valid tests. The selection uses the available broker instruments with usable historical data and includes Forex and index markets. XAUUSD was excluded because its test produced only 44% history quality and zero trades, making the result inconclusive. No unsupported result was created for missing asset categories.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Arial" w:hAnsi="Arial"/>
                <w:sz w:val="16"/>
              </w:rPr>
              <w:t>Instrument</w:t>
            </w:r>
          </w:p>
        </w:tc>
        <w:tc>
          <w:tcPr>
            <w:tcW w:type="dxa" w:w="864"/>
          </w:tcPr>
          <w:p>
            <w:r>
              <w:rPr>
                <w:rFonts w:ascii="Arial" w:hAnsi="Arial"/>
                <w:sz w:val="16"/>
              </w:rPr>
              <w:t>Type</w:t>
            </w:r>
          </w:p>
        </w:tc>
        <w:tc>
          <w:tcPr>
            <w:tcW w:type="dxa" w:w="864"/>
          </w:tcPr>
          <w:p>
            <w:r>
              <w:rPr>
                <w:rFonts w:ascii="Arial" w:hAnsi="Arial"/>
                <w:sz w:val="16"/>
              </w:rPr>
              <w:t>History</w:t>
            </w:r>
          </w:p>
        </w:tc>
        <w:tc>
          <w:tcPr>
            <w:tcW w:type="dxa" w:w="864"/>
          </w:tcPr>
          <w:p>
            <w:r>
              <w:rPr>
                <w:rFonts w:ascii="Arial" w:hAnsi="Arial"/>
                <w:sz w:val="16"/>
              </w:rPr>
              <w:t>Net Profit</w:t>
            </w:r>
          </w:p>
        </w:tc>
        <w:tc>
          <w:tcPr>
            <w:tcW w:type="dxa" w:w="864"/>
          </w:tcPr>
          <w:p>
            <w:r>
              <w:rPr>
                <w:rFonts w:ascii="Arial" w:hAnsi="Arial"/>
                <w:sz w:val="16"/>
              </w:rPr>
              <w:t>Return</w:t>
            </w:r>
          </w:p>
        </w:tc>
        <w:tc>
          <w:tcPr>
            <w:tcW w:type="dxa" w:w="864"/>
          </w:tcPr>
          <w:p>
            <w:r>
              <w:rPr>
                <w:rFonts w:ascii="Arial" w:hAnsi="Arial"/>
                <w:sz w:val="16"/>
              </w:rPr>
              <w:t>Max Equity DD</w:t>
            </w:r>
          </w:p>
        </w:tc>
        <w:tc>
          <w:tcPr>
            <w:tcW w:type="dxa" w:w="864"/>
          </w:tcPr>
          <w:p>
            <w:r>
              <w:rPr>
                <w:rFonts w:ascii="Arial" w:hAnsi="Arial"/>
                <w:sz w:val="16"/>
              </w:rPr>
              <w:t>PF</w:t>
            </w:r>
          </w:p>
        </w:tc>
        <w:tc>
          <w:tcPr>
            <w:tcW w:type="dxa" w:w="864"/>
          </w:tcPr>
          <w:p>
            <w:r>
              <w:rPr>
                <w:rFonts w:ascii="Arial" w:hAnsi="Arial"/>
                <w:sz w:val="16"/>
              </w:rPr>
              <w:t>Trades</w:t>
            </w:r>
          </w:p>
        </w:tc>
        <w:tc>
          <w:tcPr>
            <w:tcW w:type="dxa" w:w="864"/>
          </w:tcPr>
          <w:p>
            <w:r>
              <w:rPr>
                <w:rFonts w:ascii="Arial" w:hAnsi="Arial"/>
                <w:sz w:val="16"/>
              </w:rPr>
              <w:t>Wins</w:t>
            </w:r>
          </w:p>
        </w:tc>
        <w:tc>
          <w:tcPr>
            <w:tcW w:type="dxa" w:w="864"/>
          </w:tcPr>
          <w:p>
            <w:r>
              <w:rPr>
                <w:rFonts w:ascii="Arial" w:hAnsi="Arial"/>
                <w:sz w:val="16"/>
              </w:rPr>
              <w:t>Losses</w:t>
            </w:r>
          </w:p>
        </w:tc>
      </w:tr>
      <w:tr>
        <w:tc>
          <w:tcPr>
            <w:tcW w:type="dxa" w:w="864"/>
          </w:tcPr>
          <w:p>
            <w:r>
              <w:rPr>
                <w:rFonts w:ascii="Arial" w:hAnsi="Arial"/>
                <w:sz w:val="16"/>
              </w:rPr>
              <w:t>EURUSD</w:t>
            </w:r>
          </w:p>
        </w:tc>
        <w:tc>
          <w:tcPr>
            <w:tcW w:type="dxa" w:w="864"/>
          </w:tcPr>
          <w:p>
            <w:r>
              <w:rPr>
                <w:rFonts w:ascii="Arial" w:hAnsi="Arial"/>
                <w:sz w:val="16"/>
              </w:rPr>
              <w:t>Forex</w:t>
            </w:r>
          </w:p>
        </w:tc>
        <w:tc>
          <w:tcPr>
            <w:tcW w:type="dxa" w:w="864"/>
          </w:tcPr>
          <w:p>
            <w:r>
              <w:rPr>
                <w:rFonts w:ascii="Arial" w:hAnsi="Arial"/>
                <w:sz w:val="16"/>
              </w:rPr>
              <w:t>100%</w:t>
            </w:r>
          </w:p>
        </w:tc>
        <w:tc>
          <w:tcPr>
            <w:tcW w:type="dxa" w:w="864"/>
          </w:tcPr>
          <w:p>
            <w:r>
              <w:rPr>
                <w:rFonts w:ascii="Arial" w:hAnsi="Arial"/>
                <w:sz w:val="16"/>
              </w:rPr>
              <w:t>-$78.44</w:t>
            </w:r>
          </w:p>
        </w:tc>
        <w:tc>
          <w:tcPr>
            <w:tcW w:type="dxa" w:w="864"/>
          </w:tcPr>
          <w:p>
            <w:r>
              <w:rPr>
                <w:rFonts w:ascii="Arial" w:hAnsi="Arial"/>
                <w:sz w:val="16"/>
              </w:rPr>
              <w:t>-0.78%</w:t>
            </w:r>
          </w:p>
        </w:tc>
        <w:tc>
          <w:tcPr>
            <w:tcW w:type="dxa" w:w="864"/>
          </w:tcPr>
          <w:p>
            <w:r>
              <w:rPr>
                <w:rFonts w:ascii="Arial" w:hAnsi="Arial"/>
                <w:sz w:val="16"/>
              </w:rPr>
              <w:t>1.24%</w:t>
            </w:r>
          </w:p>
        </w:tc>
        <w:tc>
          <w:tcPr>
            <w:tcW w:type="dxa" w:w="864"/>
          </w:tcPr>
          <w:p>
            <w:r>
              <w:rPr>
                <w:rFonts w:ascii="Arial" w:hAnsi="Arial"/>
                <w:sz w:val="16"/>
              </w:rPr>
              <w:t>0.46</w:t>
            </w:r>
          </w:p>
        </w:tc>
        <w:tc>
          <w:tcPr>
            <w:tcW w:type="dxa" w:w="864"/>
          </w:tcPr>
          <w:p>
            <w:r>
              <w:rPr>
                <w:rFonts w:ascii="Arial" w:hAnsi="Arial"/>
                <w:sz w:val="16"/>
              </w:rPr>
              <w:t>6</w:t>
            </w:r>
          </w:p>
        </w:tc>
        <w:tc>
          <w:tcPr>
            <w:tcW w:type="dxa" w:w="864"/>
          </w:tcPr>
          <w:p>
            <w:r>
              <w:rPr>
                <w:rFonts w:ascii="Arial" w:hAnsi="Arial"/>
                <w:sz w:val="16"/>
              </w:rPr>
              <w:t>3</w:t>
            </w:r>
          </w:p>
        </w:tc>
        <w:tc>
          <w:tcPr>
            <w:tcW w:type="dxa" w:w="864"/>
          </w:tcPr>
          <w:p>
            <w:r>
              <w:rPr>
                <w:rFonts w:ascii="Arial" w:hAnsi="Arial"/>
                <w:sz w:val="16"/>
              </w:rPr>
              <w:t>3</w:t>
            </w:r>
          </w:p>
        </w:tc>
      </w:tr>
      <w:tr>
        <w:tc>
          <w:tcPr>
            <w:tcW w:type="dxa" w:w="864"/>
          </w:tcPr>
          <w:p>
            <w:r>
              <w:rPr>
                <w:rFonts w:ascii="Arial" w:hAnsi="Arial"/>
                <w:sz w:val="16"/>
              </w:rPr>
              <w:t>GBPUSD</w:t>
            </w:r>
          </w:p>
        </w:tc>
        <w:tc>
          <w:tcPr>
            <w:tcW w:type="dxa" w:w="864"/>
          </w:tcPr>
          <w:p>
            <w:r>
              <w:rPr>
                <w:rFonts w:ascii="Arial" w:hAnsi="Arial"/>
                <w:sz w:val="16"/>
              </w:rPr>
              <w:t>Forex</w:t>
            </w:r>
          </w:p>
        </w:tc>
        <w:tc>
          <w:tcPr>
            <w:tcW w:type="dxa" w:w="864"/>
          </w:tcPr>
          <w:p>
            <w:r>
              <w:rPr>
                <w:rFonts w:ascii="Arial" w:hAnsi="Arial"/>
                <w:sz w:val="16"/>
              </w:rPr>
              <w:t>99%</w:t>
            </w:r>
          </w:p>
        </w:tc>
        <w:tc>
          <w:tcPr>
            <w:tcW w:type="dxa" w:w="864"/>
          </w:tcPr>
          <w:p>
            <w:r>
              <w:rPr>
                <w:rFonts w:ascii="Arial" w:hAnsi="Arial"/>
                <w:sz w:val="16"/>
              </w:rPr>
              <w:t>-$45.68</w:t>
            </w:r>
          </w:p>
        </w:tc>
        <w:tc>
          <w:tcPr>
            <w:tcW w:type="dxa" w:w="864"/>
          </w:tcPr>
          <w:p>
            <w:r>
              <w:rPr>
                <w:rFonts w:ascii="Arial" w:hAnsi="Arial"/>
                <w:sz w:val="16"/>
              </w:rPr>
              <w:t>-0.46%</w:t>
            </w:r>
          </w:p>
        </w:tc>
        <w:tc>
          <w:tcPr>
            <w:tcW w:type="dxa" w:w="864"/>
          </w:tcPr>
          <w:p>
            <w:r>
              <w:rPr>
                <w:rFonts w:ascii="Arial" w:hAnsi="Arial"/>
                <w:sz w:val="16"/>
              </w:rPr>
              <w:t>0.69%</w:t>
            </w:r>
          </w:p>
        </w:tc>
        <w:tc>
          <w:tcPr>
            <w:tcW w:type="dxa" w:w="864"/>
          </w:tcPr>
          <w:p>
            <w:r>
              <w:rPr>
                <w:rFonts w:ascii="Arial" w:hAnsi="Arial"/>
                <w:sz w:val="16"/>
              </w:rPr>
              <w:t>0.00</w:t>
            </w:r>
          </w:p>
        </w:tc>
        <w:tc>
          <w:tcPr>
            <w:tcW w:type="dxa" w:w="864"/>
          </w:tcPr>
          <w:p>
            <w:r>
              <w:rPr>
                <w:rFonts w:ascii="Arial" w:hAnsi="Arial"/>
                <w:sz w:val="16"/>
              </w:rPr>
              <w:t>2</w:t>
            </w:r>
          </w:p>
        </w:tc>
        <w:tc>
          <w:tcPr>
            <w:tcW w:type="dxa" w:w="864"/>
          </w:tcPr>
          <w:p>
            <w:r>
              <w:rPr>
                <w:rFonts w:ascii="Arial" w:hAnsi="Arial"/>
                <w:sz w:val="16"/>
              </w:rPr>
              <w:t>0</w:t>
            </w:r>
          </w:p>
        </w:tc>
        <w:tc>
          <w:tcPr>
            <w:tcW w:type="dxa" w:w="864"/>
          </w:tcPr>
          <w:p>
            <w:r>
              <w:rPr>
                <w:rFonts w:ascii="Arial" w:hAnsi="Arial"/>
                <w:sz w:val="16"/>
              </w:rPr>
              <w:t>2</w:t>
            </w:r>
          </w:p>
        </w:tc>
      </w:tr>
      <w:tr>
        <w:tc>
          <w:tcPr>
            <w:tcW w:type="dxa" w:w="864"/>
          </w:tcPr>
          <w:p>
            <w:r>
              <w:rPr>
                <w:rFonts w:ascii="Arial" w:hAnsi="Arial"/>
                <w:sz w:val="16"/>
              </w:rPr>
              <w:t>USDJPY</w:t>
            </w:r>
          </w:p>
        </w:tc>
        <w:tc>
          <w:tcPr>
            <w:tcW w:type="dxa" w:w="864"/>
          </w:tcPr>
          <w:p>
            <w:r>
              <w:rPr>
                <w:rFonts w:ascii="Arial" w:hAnsi="Arial"/>
                <w:sz w:val="16"/>
              </w:rPr>
              <w:t>Forex</w:t>
            </w:r>
          </w:p>
        </w:tc>
        <w:tc>
          <w:tcPr>
            <w:tcW w:type="dxa" w:w="864"/>
          </w:tcPr>
          <w:p>
            <w:r>
              <w:rPr>
                <w:rFonts w:ascii="Arial" w:hAnsi="Arial"/>
                <w:sz w:val="16"/>
              </w:rPr>
              <w:t>99%</w:t>
            </w:r>
          </w:p>
        </w:tc>
        <w:tc>
          <w:tcPr>
            <w:tcW w:type="dxa" w:w="864"/>
          </w:tcPr>
          <w:p>
            <w:r>
              <w:rPr>
                <w:rFonts w:ascii="Arial" w:hAnsi="Arial"/>
                <w:sz w:val="16"/>
              </w:rPr>
              <w:t>-$1.31</w:t>
            </w:r>
          </w:p>
        </w:tc>
        <w:tc>
          <w:tcPr>
            <w:tcW w:type="dxa" w:w="864"/>
          </w:tcPr>
          <w:p>
            <w:r>
              <w:rPr>
                <w:rFonts w:ascii="Arial" w:hAnsi="Arial"/>
                <w:sz w:val="16"/>
              </w:rPr>
              <w:t>-0.01%</w:t>
            </w:r>
          </w:p>
        </w:tc>
        <w:tc>
          <w:tcPr>
            <w:tcW w:type="dxa" w:w="864"/>
          </w:tcPr>
          <w:p>
            <w:r>
              <w:rPr>
                <w:rFonts w:ascii="Arial" w:hAnsi="Arial"/>
                <w:sz w:val="16"/>
              </w:rPr>
              <w:t>1.39%</w:t>
            </w:r>
          </w:p>
        </w:tc>
        <w:tc>
          <w:tcPr>
            <w:tcW w:type="dxa" w:w="864"/>
          </w:tcPr>
          <w:p>
            <w:r>
              <w:rPr>
                <w:rFonts w:ascii="Arial" w:hAnsi="Arial"/>
                <w:sz w:val="16"/>
              </w:rPr>
              <w:t>0.99</w:t>
            </w:r>
          </w:p>
        </w:tc>
        <w:tc>
          <w:tcPr>
            <w:tcW w:type="dxa" w:w="864"/>
          </w:tcPr>
          <w:p>
            <w:r>
              <w:rPr>
                <w:rFonts w:ascii="Arial" w:hAnsi="Arial"/>
                <w:sz w:val="16"/>
              </w:rPr>
              <w:t>11</w:t>
            </w:r>
          </w:p>
        </w:tc>
        <w:tc>
          <w:tcPr>
            <w:tcW w:type="dxa" w:w="864"/>
          </w:tcPr>
          <w:p>
            <w:r>
              <w:rPr>
                <w:rFonts w:ascii="Arial" w:hAnsi="Arial"/>
                <w:sz w:val="16"/>
              </w:rPr>
              <w:t>5</w:t>
            </w:r>
          </w:p>
        </w:tc>
        <w:tc>
          <w:tcPr>
            <w:tcW w:type="dxa" w:w="864"/>
          </w:tcPr>
          <w:p>
            <w:r>
              <w:rPr>
                <w:rFonts w:ascii="Arial" w:hAnsi="Arial"/>
                <w:sz w:val="16"/>
              </w:rPr>
              <w:t>6</w:t>
            </w:r>
          </w:p>
        </w:tc>
      </w:tr>
      <w:tr>
        <w:tc>
          <w:tcPr>
            <w:tcW w:type="dxa" w:w="864"/>
          </w:tcPr>
          <w:p>
            <w:r>
              <w:rPr>
                <w:rFonts w:ascii="Arial" w:hAnsi="Arial"/>
                <w:sz w:val="16"/>
              </w:rPr>
              <w:t>USDCHF</w:t>
            </w:r>
          </w:p>
        </w:tc>
        <w:tc>
          <w:tcPr>
            <w:tcW w:type="dxa" w:w="864"/>
          </w:tcPr>
          <w:p>
            <w:r>
              <w:rPr>
                <w:rFonts w:ascii="Arial" w:hAnsi="Arial"/>
                <w:sz w:val="16"/>
              </w:rPr>
              <w:t>Forex</w:t>
            </w:r>
          </w:p>
        </w:tc>
        <w:tc>
          <w:tcPr>
            <w:tcW w:type="dxa" w:w="864"/>
          </w:tcPr>
          <w:p>
            <w:r>
              <w:rPr>
                <w:rFonts w:ascii="Arial" w:hAnsi="Arial"/>
                <w:sz w:val="16"/>
              </w:rPr>
              <w:t>99%</w:t>
            </w:r>
          </w:p>
        </w:tc>
        <w:tc>
          <w:tcPr>
            <w:tcW w:type="dxa" w:w="864"/>
          </w:tcPr>
          <w:p>
            <w:r>
              <w:rPr>
                <w:rFonts w:ascii="Arial" w:hAnsi="Arial"/>
                <w:sz w:val="16"/>
              </w:rPr>
              <w:t>+$128.89</w:t>
            </w:r>
          </w:p>
        </w:tc>
        <w:tc>
          <w:tcPr>
            <w:tcW w:type="dxa" w:w="864"/>
          </w:tcPr>
          <w:p>
            <w:r>
              <w:rPr>
                <w:rFonts w:ascii="Arial" w:hAnsi="Arial"/>
                <w:sz w:val="16"/>
              </w:rPr>
              <w:t>+1.29%</w:t>
            </w:r>
          </w:p>
        </w:tc>
        <w:tc>
          <w:tcPr>
            <w:tcW w:type="dxa" w:w="864"/>
          </w:tcPr>
          <w:p>
            <w:r>
              <w:rPr>
                <w:rFonts w:ascii="Arial" w:hAnsi="Arial"/>
                <w:sz w:val="16"/>
              </w:rPr>
              <w:t>0.95%</w:t>
            </w:r>
          </w:p>
        </w:tc>
        <w:tc>
          <w:tcPr>
            <w:tcW w:type="dxa" w:w="864"/>
          </w:tcPr>
          <w:p>
            <w:r>
              <w:rPr>
                <w:rFonts w:ascii="Arial" w:hAnsi="Arial"/>
                <w:sz w:val="16"/>
              </w:rPr>
              <w:t>3.59</w:t>
            </w:r>
          </w:p>
        </w:tc>
        <w:tc>
          <w:tcPr>
            <w:tcW w:type="dxa" w:w="864"/>
          </w:tcPr>
          <w:p>
            <w:r>
              <w:rPr>
                <w:rFonts w:ascii="Arial" w:hAnsi="Arial"/>
                <w:sz w:val="16"/>
              </w:rPr>
              <w:t>8</w:t>
            </w:r>
          </w:p>
        </w:tc>
        <w:tc>
          <w:tcPr>
            <w:tcW w:type="dxa" w:w="864"/>
          </w:tcPr>
          <w:p>
            <w:r>
              <w:rPr>
                <w:rFonts w:ascii="Arial" w:hAnsi="Arial"/>
                <w:sz w:val="16"/>
              </w:rPr>
              <w:t>5</w:t>
            </w:r>
          </w:p>
        </w:tc>
        <w:tc>
          <w:tcPr>
            <w:tcW w:type="dxa" w:w="864"/>
          </w:tcPr>
          <w:p>
            <w:r>
              <w:rPr>
                <w:rFonts w:ascii="Arial" w:hAnsi="Arial"/>
                <w:sz w:val="16"/>
              </w:rPr>
              <w:t>3</w:t>
            </w:r>
          </w:p>
        </w:tc>
      </w:tr>
      <w:tr>
        <w:tc>
          <w:tcPr>
            <w:tcW w:type="dxa" w:w="864"/>
          </w:tcPr>
          <w:p>
            <w:r>
              <w:rPr>
                <w:rFonts w:ascii="Arial" w:hAnsi="Arial"/>
                <w:sz w:val="16"/>
              </w:rPr>
              <w:t>USDCAD</w:t>
            </w:r>
          </w:p>
        </w:tc>
        <w:tc>
          <w:tcPr>
            <w:tcW w:type="dxa" w:w="864"/>
          </w:tcPr>
          <w:p>
            <w:r>
              <w:rPr>
                <w:rFonts w:ascii="Arial" w:hAnsi="Arial"/>
                <w:sz w:val="16"/>
              </w:rPr>
              <w:t>Forex</w:t>
            </w:r>
          </w:p>
        </w:tc>
        <w:tc>
          <w:tcPr>
            <w:tcW w:type="dxa" w:w="864"/>
          </w:tcPr>
          <w:p>
            <w:r>
              <w:rPr>
                <w:rFonts w:ascii="Arial" w:hAnsi="Arial"/>
                <w:sz w:val="16"/>
              </w:rPr>
              <w:t>99%</w:t>
            </w:r>
          </w:p>
        </w:tc>
        <w:tc>
          <w:tcPr>
            <w:tcW w:type="dxa" w:w="864"/>
          </w:tcPr>
          <w:p>
            <w:r>
              <w:rPr>
                <w:rFonts w:ascii="Arial" w:hAnsi="Arial"/>
                <w:sz w:val="16"/>
              </w:rPr>
              <w:t>+$89.56</w:t>
            </w:r>
          </w:p>
        </w:tc>
        <w:tc>
          <w:tcPr>
            <w:tcW w:type="dxa" w:w="864"/>
          </w:tcPr>
          <w:p>
            <w:r>
              <w:rPr>
                <w:rFonts w:ascii="Arial" w:hAnsi="Arial"/>
                <w:sz w:val="16"/>
              </w:rPr>
              <w:t>+0.90%</w:t>
            </w:r>
          </w:p>
        </w:tc>
        <w:tc>
          <w:tcPr>
            <w:tcW w:type="dxa" w:w="864"/>
          </w:tcPr>
          <w:p>
            <w:r>
              <w:rPr>
                <w:rFonts w:ascii="Arial" w:hAnsi="Arial"/>
                <w:sz w:val="16"/>
              </w:rPr>
              <w:t>0.69%</w:t>
            </w:r>
          </w:p>
        </w:tc>
        <w:tc>
          <w:tcPr>
            <w:tcW w:type="dxa" w:w="864"/>
          </w:tcPr>
          <w:p>
            <w:r>
              <w:rPr>
                <w:rFonts w:ascii="Arial" w:hAnsi="Arial"/>
                <w:sz w:val="16"/>
              </w:rPr>
              <w:t>2.80</w:t>
            </w:r>
          </w:p>
        </w:tc>
        <w:tc>
          <w:tcPr>
            <w:tcW w:type="dxa" w:w="864"/>
          </w:tcPr>
          <w:p>
            <w:r>
              <w:rPr>
                <w:rFonts w:ascii="Arial" w:hAnsi="Arial"/>
                <w:sz w:val="16"/>
              </w:rPr>
              <w:t>2</w:t>
            </w:r>
          </w:p>
        </w:tc>
        <w:tc>
          <w:tcPr>
            <w:tcW w:type="dxa" w:w="864"/>
          </w:tcPr>
          <w:p>
            <w:r>
              <w:rPr>
                <w:rFonts w:ascii="Arial" w:hAnsi="Arial"/>
                <w:sz w:val="16"/>
              </w:rPr>
              <w:t>1</w:t>
            </w:r>
          </w:p>
        </w:tc>
        <w:tc>
          <w:tcPr>
            <w:tcW w:type="dxa" w:w="864"/>
          </w:tcPr>
          <w:p>
            <w:r>
              <w:rPr>
                <w:rFonts w:ascii="Arial" w:hAnsi="Arial"/>
                <w:sz w:val="16"/>
              </w:rPr>
              <w:t>1</w:t>
            </w:r>
          </w:p>
        </w:tc>
      </w:tr>
      <w:tr>
        <w:tc>
          <w:tcPr>
            <w:tcW w:type="dxa" w:w="864"/>
          </w:tcPr>
          <w:p>
            <w:r>
              <w:rPr>
                <w:rFonts w:ascii="Arial" w:hAnsi="Arial"/>
                <w:sz w:val="16"/>
              </w:rPr>
              <w:t>NZDUSD</w:t>
            </w:r>
          </w:p>
        </w:tc>
        <w:tc>
          <w:tcPr>
            <w:tcW w:type="dxa" w:w="864"/>
          </w:tcPr>
          <w:p>
            <w:r>
              <w:rPr>
                <w:rFonts w:ascii="Arial" w:hAnsi="Arial"/>
                <w:sz w:val="16"/>
              </w:rPr>
              <w:t>Forex</w:t>
            </w:r>
          </w:p>
        </w:tc>
        <w:tc>
          <w:tcPr>
            <w:tcW w:type="dxa" w:w="864"/>
          </w:tcPr>
          <w:p>
            <w:r>
              <w:rPr>
                <w:rFonts w:ascii="Arial" w:hAnsi="Arial"/>
                <w:sz w:val="16"/>
              </w:rPr>
              <w:t>99%</w:t>
            </w:r>
          </w:p>
        </w:tc>
        <w:tc>
          <w:tcPr>
            <w:tcW w:type="dxa" w:w="864"/>
          </w:tcPr>
          <w:p>
            <w:r>
              <w:rPr>
                <w:rFonts w:ascii="Arial" w:hAnsi="Arial"/>
                <w:sz w:val="16"/>
              </w:rPr>
              <w:t>-$27.84</w:t>
            </w:r>
          </w:p>
        </w:tc>
        <w:tc>
          <w:tcPr>
            <w:tcW w:type="dxa" w:w="864"/>
          </w:tcPr>
          <w:p>
            <w:r>
              <w:rPr>
                <w:rFonts w:ascii="Arial" w:hAnsi="Arial"/>
                <w:sz w:val="16"/>
              </w:rPr>
              <w:t>-0.28%</w:t>
            </w:r>
          </w:p>
        </w:tc>
        <w:tc>
          <w:tcPr>
            <w:tcW w:type="dxa" w:w="864"/>
          </w:tcPr>
          <w:p>
            <w:r>
              <w:rPr>
                <w:rFonts w:ascii="Arial" w:hAnsi="Arial"/>
                <w:sz w:val="16"/>
              </w:rPr>
              <w:t>1.21%</w:t>
            </w:r>
          </w:p>
        </w:tc>
        <w:tc>
          <w:tcPr>
            <w:tcW w:type="dxa" w:w="864"/>
          </w:tcPr>
          <w:p>
            <w:r>
              <w:rPr>
                <w:rFonts w:ascii="Arial" w:hAnsi="Arial"/>
                <w:sz w:val="16"/>
              </w:rPr>
              <w:t>0.81</w:t>
            </w:r>
          </w:p>
        </w:tc>
        <w:tc>
          <w:tcPr>
            <w:tcW w:type="dxa" w:w="864"/>
          </w:tcPr>
          <w:p>
            <w:r>
              <w:rPr>
                <w:rFonts w:ascii="Arial" w:hAnsi="Arial"/>
                <w:sz w:val="16"/>
              </w:rPr>
              <w:t>8</w:t>
            </w:r>
          </w:p>
        </w:tc>
        <w:tc>
          <w:tcPr>
            <w:tcW w:type="dxa" w:w="864"/>
          </w:tcPr>
          <w:p>
            <w:r>
              <w:rPr>
                <w:rFonts w:ascii="Arial" w:hAnsi="Arial"/>
                <w:sz w:val="16"/>
              </w:rPr>
              <w:t>5</w:t>
            </w:r>
          </w:p>
        </w:tc>
        <w:tc>
          <w:tcPr>
            <w:tcW w:type="dxa" w:w="864"/>
          </w:tcPr>
          <w:p>
            <w:r>
              <w:rPr>
                <w:rFonts w:ascii="Arial" w:hAnsi="Arial"/>
                <w:sz w:val="16"/>
              </w:rPr>
              <w:t>3</w:t>
            </w:r>
          </w:p>
        </w:tc>
      </w:tr>
      <w:tr>
        <w:tc>
          <w:tcPr>
            <w:tcW w:type="dxa" w:w="864"/>
          </w:tcPr>
          <w:p>
            <w:r>
              <w:rPr>
                <w:rFonts w:ascii="Arial" w:hAnsi="Arial"/>
                <w:sz w:val="16"/>
              </w:rPr>
              <w:t>USDCNH</w:t>
            </w:r>
          </w:p>
        </w:tc>
        <w:tc>
          <w:tcPr>
            <w:tcW w:type="dxa" w:w="864"/>
          </w:tcPr>
          <w:p>
            <w:r>
              <w:rPr>
                <w:rFonts w:ascii="Arial" w:hAnsi="Arial"/>
                <w:sz w:val="16"/>
              </w:rPr>
              <w:t>Forex</w:t>
            </w:r>
          </w:p>
        </w:tc>
        <w:tc>
          <w:tcPr>
            <w:tcW w:type="dxa" w:w="864"/>
          </w:tcPr>
          <w:p>
            <w:r>
              <w:rPr>
                <w:rFonts w:ascii="Arial" w:hAnsi="Arial"/>
                <w:sz w:val="16"/>
              </w:rPr>
              <w:t>99%</w:t>
            </w:r>
          </w:p>
        </w:tc>
        <w:tc>
          <w:tcPr>
            <w:tcW w:type="dxa" w:w="864"/>
          </w:tcPr>
          <w:p>
            <w:r>
              <w:rPr>
                <w:rFonts w:ascii="Arial" w:hAnsi="Arial"/>
                <w:sz w:val="16"/>
              </w:rPr>
              <w:t>$0.00</w:t>
            </w:r>
          </w:p>
        </w:tc>
        <w:tc>
          <w:tcPr>
            <w:tcW w:type="dxa" w:w="864"/>
          </w:tcPr>
          <w:p>
            <w:r>
              <w:rPr>
                <w:rFonts w:ascii="Arial" w:hAnsi="Arial"/>
                <w:sz w:val="16"/>
              </w:rPr>
              <w:t>0.00%</w:t>
            </w:r>
          </w:p>
        </w:tc>
        <w:tc>
          <w:tcPr>
            <w:tcW w:type="dxa" w:w="864"/>
          </w:tcPr>
          <w:p>
            <w:r>
              <w:rPr>
                <w:rFonts w:ascii="Arial" w:hAnsi="Arial"/>
                <w:sz w:val="16"/>
              </w:rPr>
              <w:t>0.00%</w:t>
            </w:r>
          </w:p>
        </w:tc>
        <w:tc>
          <w:tcPr>
            <w:tcW w:type="dxa" w:w="864"/>
          </w:tcPr>
          <w:p>
            <w:r>
              <w:rPr>
                <w:rFonts w:ascii="Arial" w:hAnsi="Arial"/>
                <w:sz w:val="16"/>
              </w:rPr>
              <w:t>N/A</w:t>
            </w:r>
          </w:p>
        </w:tc>
        <w:tc>
          <w:tcPr>
            <w:tcW w:type="dxa" w:w="864"/>
          </w:tcPr>
          <w:p>
            <w:r>
              <w:rPr>
                <w:rFonts w:ascii="Arial" w:hAnsi="Arial"/>
                <w:sz w:val="16"/>
              </w:rPr>
              <w:t>0</w:t>
            </w:r>
          </w:p>
        </w:tc>
        <w:tc>
          <w:tcPr>
            <w:tcW w:type="dxa" w:w="864"/>
          </w:tcPr>
          <w:p>
            <w:r>
              <w:rPr>
                <w:rFonts w:ascii="Arial" w:hAnsi="Arial"/>
                <w:sz w:val="16"/>
              </w:rPr>
              <w:t>0</w:t>
            </w:r>
          </w:p>
        </w:tc>
        <w:tc>
          <w:tcPr>
            <w:tcW w:type="dxa" w:w="864"/>
          </w:tcPr>
          <w:p>
            <w:r>
              <w:rPr>
                <w:rFonts w:ascii="Arial" w:hAnsi="Arial"/>
                <w:sz w:val="16"/>
              </w:rPr>
              <w:t>0</w:t>
            </w:r>
          </w:p>
        </w:tc>
      </w:tr>
      <w:tr>
        <w:tc>
          <w:tcPr>
            <w:tcW w:type="dxa" w:w="864"/>
          </w:tcPr>
          <w:p>
            <w:r>
              <w:rPr>
                <w:rFonts w:ascii="Arial" w:hAnsi="Arial"/>
                <w:sz w:val="16"/>
              </w:rPr>
              <w:t>US500</w:t>
            </w:r>
          </w:p>
        </w:tc>
        <w:tc>
          <w:tcPr>
            <w:tcW w:type="dxa" w:w="864"/>
          </w:tcPr>
          <w:p>
            <w:r>
              <w:rPr>
                <w:rFonts w:ascii="Arial" w:hAnsi="Arial"/>
                <w:sz w:val="16"/>
              </w:rPr>
              <w:t>Index</w:t>
            </w:r>
          </w:p>
        </w:tc>
        <w:tc>
          <w:tcPr>
            <w:tcW w:type="dxa" w:w="864"/>
          </w:tcPr>
          <w:p>
            <w:r>
              <w:rPr>
                <w:rFonts w:ascii="Arial" w:hAnsi="Arial"/>
                <w:sz w:val="16"/>
              </w:rPr>
              <w:t>99%</w:t>
            </w:r>
          </w:p>
        </w:tc>
        <w:tc>
          <w:tcPr>
            <w:tcW w:type="dxa" w:w="864"/>
          </w:tcPr>
          <w:p>
            <w:r>
              <w:rPr>
                <w:rFonts w:ascii="Arial" w:hAnsi="Arial"/>
                <w:sz w:val="16"/>
              </w:rPr>
              <w:t>-$282.77</w:t>
            </w:r>
          </w:p>
        </w:tc>
        <w:tc>
          <w:tcPr>
            <w:tcW w:type="dxa" w:w="864"/>
          </w:tcPr>
          <w:p>
            <w:r>
              <w:rPr>
                <w:rFonts w:ascii="Arial" w:hAnsi="Arial"/>
                <w:sz w:val="16"/>
              </w:rPr>
              <w:t>-2.83%</w:t>
            </w:r>
          </w:p>
        </w:tc>
        <w:tc>
          <w:tcPr>
            <w:tcW w:type="dxa" w:w="864"/>
          </w:tcPr>
          <w:p>
            <w:r>
              <w:rPr>
                <w:rFonts w:ascii="Arial" w:hAnsi="Arial"/>
                <w:sz w:val="16"/>
              </w:rPr>
              <w:t>9.73%</w:t>
            </w:r>
          </w:p>
        </w:tc>
        <w:tc>
          <w:tcPr>
            <w:tcW w:type="dxa" w:w="864"/>
          </w:tcPr>
          <w:p>
            <w:r>
              <w:rPr>
                <w:rFonts w:ascii="Arial" w:hAnsi="Arial"/>
                <w:sz w:val="16"/>
              </w:rPr>
              <w:t>0.95</w:t>
            </w:r>
          </w:p>
        </w:tc>
        <w:tc>
          <w:tcPr>
            <w:tcW w:type="dxa" w:w="864"/>
          </w:tcPr>
          <w:p>
            <w:r>
              <w:rPr>
                <w:rFonts w:ascii="Arial" w:hAnsi="Arial"/>
                <w:sz w:val="16"/>
              </w:rPr>
              <w:t>246</w:t>
            </w:r>
          </w:p>
        </w:tc>
        <w:tc>
          <w:tcPr>
            <w:tcW w:type="dxa" w:w="864"/>
          </w:tcPr>
          <w:p>
            <w:r>
              <w:rPr>
                <w:rFonts w:ascii="Arial" w:hAnsi="Arial"/>
                <w:sz w:val="16"/>
              </w:rPr>
              <w:t>125</w:t>
            </w:r>
          </w:p>
        </w:tc>
        <w:tc>
          <w:tcPr>
            <w:tcW w:type="dxa" w:w="864"/>
          </w:tcPr>
          <w:p>
            <w:r>
              <w:rPr>
                <w:rFonts w:ascii="Arial" w:hAnsi="Arial"/>
                <w:sz w:val="16"/>
              </w:rPr>
              <w:t>121</w:t>
            </w:r>
          </w:p>
        </w:tc>
      </w:tr>
      <w:tr>
        <w:tc>
          <w:tcPr>
            <w:tcW w:type="dxa" w:w="864"/>
          </w:tcPr>
          <w:p>
            <w:r>
              <w:rPr>
                <w:rFonts w:ascii="Arial" w:hAnsi="Arial"/>
                <w:sz w:val="16"/>
              </w:rPr>
              <w:t>USTEC</w:t>
            </w:r>
          </w:p>
        </w:tc>
        <w:tc>
          <w:tcPr>
            <w:tcW w:type="dxa" w:w="864"/>
          </w:tcPr>
          <w:p>
            <w:r>
              <w:rPr>
                <w:rFonts w:ascii="Arial" w:hAnsi="Arial"/>
                <w:sz w:val="16"/>
              </w:rPr>
              <w:t>Index</w:t>
            </w:r>
          </w:p>
        </w:tc>
        <w:tc>
          <w:tcPr>
            <w:tcW w:type="dxa" w:w="864"/>
          </w:tcPr>
          <w:p>
            <w:r>
              <w:rPr>
                <w:rFonts w:ascii="Arial" w:hAnsi="Arial"/>
                <w:sz w:val="16"/>
              </w:rPr>
              <w:t>99%</w:t>
            </w:r>
          </w:p>
        </w:tc>
        <w:tc>
          <w:tcPr>
            <w:tcW w:type="dxa" w:w="864"/>
          </w:tcPr>
          <w:p>
            <w:r>
              <w:rPr>
                <w:rFonts w:ascii="Arial" w:hAnsi="Arial"/>
                <w:sz w:val="16"/>
              </w:rPr>
              <w:t>-$2,419.59</w:t>
            </w:r>
          </w:p>
        </w:tc>
        <w:tc>
          <w:tcPr>
            <w:tcW w:type="dxa" w:w="864"/>
          </w:tcPr>
          <w:p>
            <w:r>
              <w:rPr>
                <w:rFonts w:ascii="Arial" w:hAnsi="Arial"/>
                <w:sz w:val="16"/>
              </w:rPr>
              <w:t>-24.20%</w:t>
            </w:r>
          </w:p>
        </w:tc>
        <w:tc>
          <w:tcPr>
            <w:tcW w:type="dxa" w:w="864"/>
          </w:tcPr>
          <w:p>
            <w:r>
              <w:rPr>
                <w:rFonts w:ascii="Arial" w:hAnsi="Arial"/>
                <w:sz w:val="16"/>
              </w:rPr>
              <w:t>25.92%</w:t>
            </w:r>
          </w:p>
        </w:tc>
        <w:tc>
          <w:tcPr>
            <w:tcW w:type="dxa" w:w="864"/>
          </w:tcPr>
          <w:p>
            <w:r>
              <w:rPr>
                <w:rFonts w:ascii="Arial" w:hAnsi="Arial"/>
                <w:sz w:val="16"/>
              </w:rPr>
              <w:t>0.59</w:t>
            </w:r>
          </w:p>
        </w:tc>
        <w:tc>
          <w:tcPr>
            <w:tcW w:type="dxa" w:w="864"/>
          </w:tcPr>
          <w:p>
            <w:r>
              <w:rPr>
                <w:rFonts w:ascii="Arial" w:hAnsi="Arial"/>
                <w:sz w:val="16"/>
              </w:rPr>
              <w:t>259</w:t>
            </w:r>
          </w:p>
        </w:tc>
        <w:tc>
          <w:tcPr>
            <w:tcW w:type="dxa" w:w="864"/>
          </w:tcPr>
          <w:p>
            <w:r>
              <w:rPr>
                <w:rFonts w:ascii="Arial" w:hAnsi="Arial"/>
                <w:sz w:val="16"/>
              </w:rPr>
              <w:t>115</w:t>
            </w:r>
          </w:p>
        </w:tc>
        <w:tc>
          <w:tcPr>
            <w:tcW w:type="dxa" w:w="864"/>
          </w:tcPr>
          <w:p>
            <w:r>
              <w:rPr>
                <w:rFonts w:ascii="Arial" w:hAnsi="Arial"/>
                <w:sz w:val="16"/>
              </w:rPr>
              <w:t>144</w:t>
            </w:r>
          </w:p>
        </w:tc>
      </w:tr>
      <w:tr>
        <w:tc>
          <w:tcPr>
            <w:tcW w:type="dxa" w:w="864"/>
          </w:tcPr>
          <w:p>
            <w:r>
              <w:rPr>
                <w:rFonts w:ascii="Arial" w:hAnsi="Arial"/>
                <w:sz w:val="16"/>
              </w:rPr>
              <w:t>JPN225</w:t>
            </w:r>
          </w:p>
        </w:tc>
        <w:tc>
          <w:tcPr>
            <w:tcW w:type="dxa" w:w="864"/>
          </w:tcPr>
          <w:p>
            <w:r>
              <w:rPr>
                <w:rFonts w:ascii="Arial" w:hAnsi="Arial"/>
                <w:sz w:val="16"/>
              </w:rPr>
              <w:t>Index</w:t>
            </w:r>
          </w:p>
        </w:tc>
        <w:tc>
          <w:tcPr>
            <w:tcW w:type="dxa" w:w="864"/>
          </w:tcPr>
          <w:p>
            <w:r>
              <w:rPr>
                <w:rFonts w:ascii="Arial" w:hAnsi="Arial"/>
                <w:sz w:val="16"/>
              </w:rPr>
              <w:t>99%</w:t>
            </w:r>
          </w:p>
        </w:tc>
        <w:tc>
          <w:tcPr>
            <w:tcW w:type="dxa" w:w="864"/>
          </w:tcPr>
          <w:p>
            <w:r>
              <w:rPr>
                <w:rFonts w:ascii="Arial" w:hAnsi="Arial"/>
                <w:sz w:val="16"/>
              </w:rPr>
              <w:t>-$2,995.52</w:t>
            </w:r>
          </w:p>
        </w:tc>
        <w:tc>
          <w:tcPr>
            <w:tcW w:type="dxa" w:w="864"/>
          </w:tcPr>
          <w:p>
            <w:r>
              <w:rPr>
                <w:rFonts w:ascii="Arial" w:hAnsi="Arial"/>
                <w:sz w:val="16"/>
              </w:rPr>
              <w:t>-29.96%</w:t>
            </w:r>
          </w:p>
        </w:tc>
        <w:tc>
          <w:tcPr>
            <w:tcW w:type="dxa" w:w="864"/>
          </w:tcPr>
          <w:p>
            <w:r>
              <w:rPr>
                <w:rFonts w:ascii="Arial" w:hAnsi="Arial"/>
                <w:sz w:val="16"/>
              </w:rPr>
              <w:t>40.41%</w:t>
            </w:r>
          </w:p>
        </w:tc>
        <w:tc>
          <w:tcPr>
            <w:tcW w:type="dxa" w:w="864"/>
          </w:tcPr>
          <w:p>
            <w:r>
              <w:rPr>
                <w:rFonts w:ascii="Arial" w:hAnsi="Arial"/>
                <w:sz w:val="16"/>
              </w:rPr>
              <w:t>0.84</w:t>
            </w:r>
          </w:p>
        </w:tc>
        <w:tc>
          <w:tcPr>
            <w:tcW w:type="dxa" w:w="864"/>
          </w:tcPr>
          <w:p>
            <w:r>
              <w:rPr>
                <w:rFonts w:ascii="Arial" w:hAnsi="Arial"/>
                <w:sz w:val="16"/>
              </w:rPr>
              <w:t>246</w:t>
            </w:r>
          </w:p>
        </w:tc>
        <w:tc>
          <w:tcPr>
            <w:tcW w:type="dxa" w:w="864"/>
          </w:tcPr>
          <w:p>
            <w:r>
              <w:rPr>
                <w:rFonts w:ascii="Arial" w:hAnsi="Arial"/>
                <w:sz w:val="16"/>
              </w:rPr>
              <w:t>111</w:t>
            </w:r>
          </w:p>
        </w:tc>
        <w:tc>
          <w:tcPr>
            <w:tcW w:type="dxa" w:w="864"/>
          </w:tcPr>
          <w:p>
            <w:r>
              <w:rPr>
                <w:rFonts w:ascii="Arial" w:hAnsi="Arial"/>
                <w:sz w:val="16"/>
              </w:rPr>
              <w:t>135</w:t>
            </w:r>
          </w:p>
        </w:tc>
      </w:tr>
    </w:tbl>
    <w:p>
      <w:pPr>
        <w:pStyle w:val="Heading1"/>
      </w:pPr>
      <w:r>
        <w:t>8. Results and Discussion</w:t>
      </w:r>
    </w:p>
    <w:p>
      <w:r>
        <w:t>USDCHF recorded a positive return of 1.29% with a profit factor of 3.59. USDCAD also recorded a positive return of 0.90% with a profit factor of 2.80. USDJPY was almost flat at -0.01%.</w:t>
      </w:r>
    </w:p>
    <w:p>
      <w:r>
        <w:t>EURUSD, GBPUSD, NZDUSD, and US500 produced relatively small losses compared with USTEC and JPN225. JPN225 recorded the highest drawdown at 40.41%, which is above the project's 25–30% target. USTEC recorded a 25.92% drawdown, within the target range but close to its upper limit.</w:t>
      </w:r>
    </w:p>
    <w:p>
      <w:r>
        <w:t>USDCNH produced no trades. Therefore, its 0.00% return does not demonstrate profitability; it only indicates that no position was opened during the tested period.</w:t>
      </w:r>
    </w:p>
    <w:p>
      <w:pPr>
        <w:pStyle w:val="Heading1"/>
      </w:pPr>
      <w:r>
        <w:t>9. Comparison with Project Targets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16"/>
              </w:rPr>
              <w:t>Project Target</w:t>
            </w:r>
          </w:p>
        </w:tc>
        <w:tc>
          <w:tcPr>
            <w:tcW w:type="dxa" w:w="2880"/>
          </w:tcPr>
          <w:p>
            <w:r>
              <w:rPr>
                <w:rFonts w:ascii="Arial" w:hAnsi="Arial"/>
                <w:sz w:val="16"/>
              </w:rPr>
              <w:t>Observed Result</w:t>
            </w:r>
          </w:p>
        </w:tc>
        <w:tc>
          <w:tcPr>
            <w:tcW w:type="dxa" w:w="2880"/>
          </w:tcPr>
          <w:p>
            <w:r>
              <w:rPr>
                <w:rFonts w:ascii="Arial" w:hAnsi="Arial"/>
                <w:sz w:val="16"/>
              </w:rPr>
              <w:t>Comment</w:t>
            </w:r>
          </w:p>
        </w:tc>
      </w:tr>
      <w:tr>
        <w:tc>
          <w:tcPr>
            <w:tcW w:type="dxa" w:w="2880"/>
          </w:tcPr>
          <w:p>
            <w:r>
              <w:rPr>
                <w:rFonts w:ascii="Arial" w:hAnsi="Arial"/>
                <w:sz w:val="16"/>
              </w:rPr>
              <w:t>Monthly return: 3%–5%</w:t>
            </w:r>
          </w:p>
        </w:tc>
        <w:tc>
          <w:tcPr>
            <w:tcW w:type="dxa" w:w="2880"/>
          </w:tcPr>
          <w:p>
            <w:r>
              <w:rPr>
                <w:rFonts w:ascii="Arial" w:hAnsi="Arial"/>
                <w:sz w:val="16"/>
              </w:rPr>
              <w:t>Not demonstrated</w:t>
            </w:r>
          </w:p>
        </w:tc>
        <w:tc>
          <w:tcPr>
            <w:tcW w:type="dxa" w:w="2880"/>
          </w:tcPr>
          <w:p>
            <w:r>
              <w:rPr>
                <w:rFonts w:ascii="Arial" w:hAnsi="Arial"/>
                <w:sz w:val="16"/>
              </w:rPr>
              <w:t>The OOS tests do not consistently reach this target.</w:t>
            </w:r>
          </w:p>
        </w:tc>
      </w:tr>
      <w:tr>
        <w:tc>
          <w:tcPr>
            <w:tcW w:type="dxa" w:w="2880"/>
          </w:tcPr>
          <w:p>
            <w:r>
              <w:rPr>
                <w:rFonts w:ascii="Arial" w:hAnsi="Arial"/>
                <w:sz w:val="16"/>
              </w:rPr>
              <w:t>Maximum DD: 25%–30%</w:t>
            </w:r>
          </w:p>
        </w:tc>
        <w:tc>
          <w:tcPr>
            <w:tcW w:type="dxa" w:w="2880"/>
          </w:tcPr>
          <w:p>
            <w:r>
              <w:rPr>
                <w:rFonts w:ascii="Arial" w:hAnsi="Arial"/>
                <w:sz w:val="16"/>
              </w:rPr>
              <w:t>Mixed</w:t>
            </w:r>
          </w:p>
        </w:tc>
        <w:tc>
          <w:tcPr>
            <w:tcW w:type="dxa" w:w="2880"/>
          </w:tcPr>
          <w:p>
            <w:r>
              <w:rPr>
                <w:rFonts w:ascii="Arial" w:hAnsi="Arial"/>
                <w:sz w:val="16"/>
              </w:rPr>
              <w:t>Several instruments are below the limit, but JPN225 reaches 40.41%.</w:t>
            </w:r>
          </w:p>
        </w:tc>
      </w:tr>
      <w:tr>
        <w:tc>
          <w:tcPr>
            <w:tcW w:type="dxa" w:w="2880"/>
          </w:tcPr>
          <w:p>
            <w:r>
              <w:rPr>
                <w:rFonts w:ascii="Arial" w:hAnsi="Arial"/>
                <w:sz w:val="16"/>
              </w:rPr>
              <w:t>Annual return: 50%–70%</w:t>
            </w:r>
          </w:p>
        </w:tc>
        <w:tc>
          <w:tcPr>
            <w:tcW w:type="dxa" w:w="2880"/>
          </w:tcPr>
          <w:p>
            <w:r>
              <w:rPr>
                <w:rFonts w:ascii="Arial" w:hAnsi="Arial"/>
                <w:sz w:val="16"/>
              </w:rPr>
              <w:t>Not demonstrated</w:t>
            </w:r>
          </w:p>
        </w:tc>
        <w:tc>
          <w:tcPr>
            <w:tcW w:type="dxa" w:w="2880"/>
          </w:tcPr>
          <w:p>
            <w:r>
              <w:rPr>
                <w:rFonts w:ascii="Arial" w:hAnsi="Arial"/>
                <w:sz w:val="16"/>
              </w:rPr>
              <w:t>The OOS results do not support this target.</w:t>
            </w:r>
          </w:p>
        </w:tc>
      </w:tr>
      <w:tr>
        <w:tc>
          <w:tcPr>
            <w:tcW w:type="dxa" w:w="2880"/>
          </w:tcPr>
          <w:p>
            <w:r>
              <w:rPr>
                <w:rFonts w:ascii="Arial" w:hAnsi="Arial"/>
                <w:sz w:val="16"/>
              </w:rPr>
              <w:t>No more than six losing months/year</w:t>
            </w:r>
          </w:p>
        </w:tc>
        <w:tc>
          <w:tcPr>
            <w:tcW w:type="dxa" w:w="2880"/>
          </w:tcPr>
          <w:p>
            <w:r>
              <w:rPr>
                <w:rFonts w:ascii="Arial" w:hAnsi="Arial"/>
                <w:sz w:val="16"/>
              </w:rPr>
              <w:t>Not yet verified</w:t>
            </w:r>
          </w:p>
        </w:tc>
        <w:tc>
          <w:tcPr>
            <w:tcW w:type="dxa" w:w="2880"/>
          </w:tcPr>
          <w:p>
            <w:r>
              <w:rPr>
                <w:rFonts w:ascii="Arial" w:hAnsi="Arial"/>
                <w:sz w:val="16"/>
              </w:rPr>
              <w:t>A month-by-month equity/result export is required.</w:t>
            </w:r>
          </w:p>
        </w:tc>
      </w:tr>
      <w:tr>
        <w:tc>
          <w:tcPr>
            <w:tcW w:type="dxa" w:w="2880"/>
          </w:tcPr>
          <w:p>
            <w:r>
              <w:rPr>
                <w:rFonts w:ascii="Arial" w:hAnsi="Arial"/>
                <w:sz w:val="16"/>
              </w:rPr>
              <w:t>No martingale/grid/HFT</w:t>
            </w:r>
          </w:p>
        </w:tc>
        <w:tc>
          <w:tcPr>
            <w:tcW w:type="dxa" w:w="2880"/>
          </w:tcPr>
          <w:p>
            <w:r>
              <w:rPr>
                <w:rFonts w:ascii="Arial" w:hAnsi="Arial"/>
                <w:sz w:val="16"/>
              </w:rPr>
              <w:t>Satisfied by design</w:t>
            </w:r>
          </w:p>
        </w:tc>
        <w:tc>
          <w:tcPr>
            <w:tcW w:type="dxa" w:w="2880"/>
          </w:tcPr>
          <w:p>
            <w:r>
              <w:rPr>
                <w:rFonts w:ascii="Arial" w:hAnsi="Arial"/>
                <w:sz w:val="16"/>
              </w:rPr>
              <w:t>The EA uses fixed percentage risk and one position per symbol.</w:t>
            </w:r>
          </w:p>
        </w:tc>
      </w:tr>
    </w:tbl>
    <w:p>
      <w:pPr>
        <w:pStyle w:val="Heading1"/>
      </w:pPr>
      <w:r>
        <w:t>10. Risk and Robustness Discussion</w:t>
      </w:r>
    </w:p>
    <w:p>
      <w:r>
        <w:t>Percentage-based risk keeps position sizing related to account equity instead of increasing position size after losses. The EA also limits positions per symbol and uses a monthly loss circuit breaker. These controls reduce uncontrolled exposure but cannot guarantee profitability.</w:t>
      </w:r>
    </w:p>
    <w:p>
      <w:r>
        <w:t>The different results between Forex and index instruments show that the strategy is sensitive to market characteristics. One parameter set should therefore not be assumed to work equally well in every market.</w:t>
      </w:r>
    </w:p>
    <w:p>
      <w:pPr>
        <w:pStyle w:val="Heading1"/>
      </w:pPr>
      <w:r>
        <w:t>11. Limitations</w:t>
      </w:r>
    </w:p>
    <w:p>
      <w:pPr>
        <w:pStyle w:val="ListBullet"/>
      </w:pPr>
      <w:r>
        <w:t>The reported OOS period is approximately three years, not seven years.</w:t>
      </w:r>
    </w:p>
    <w:p>
      <w:pPr>
        <w:pStyle w:val="ListBullet"/>
      </w:pPr>
      <w:r>
        <w:t>Some instruments had limited or unusable historical data. XAUUSD was excluded because of 44% history quality and zero trades.</w:t>
      </w:r>
    </w:p>
    <w:p>
      <w:pPr>
        <w:pStyle w:val="ListBullet"/>
      </w:pPr>
      <w:r>
        <w:t>Several instruments did not meet the project's return targets.</w:t>
      </w:r>
    </w:p>
    <w:p>
      <w:pPr>
        <w:pStyle w:val="ListBullet"/>
      </w:pPr>
      <w:r>
        <w:t>Backtest results do not prove future profitability.</w:t>
      </w:r>
    </w:p>
    <w:p>
      <w:pPr>
        <w:pStyle w:val="ListBullet"/>
      </w:pPr>
      <w:r>
        <w:t>Exact monthly losing-month analysis requires a month-by-month equity/results export.</w:t>
      </w:r>
    </w:p>
    <w:p>
      <w:pPr>
        <w:pStyle w:val="ListBullet"/>
      </w:pPr>
      <w:r>
        <w:t>The current EA contains a MaxPortfolioRiskPct input, but the present implementation does not use it as an active portfolio-level risk check. It should be implemented or removed before claiming complete portfolio-level risk control.</w:t>
      </w:r>
    </w:p>
    <w:p>
      <w:pPr>
        <w:pStyle w:val="Heading1"/>
      </w:pPr>
      <w:r>
        <w:t>12. Conclusion</w:t>
      </w:r>
    </w:p>
    <w:p>
      <w:r>
        <w:t>The project produced a rule-based MetaTrader 5 Expert Advisor using trend, pullback, volatility, and risk-management components. The EA was tested using real-tick simulation with 1:1 leverage and a fixed parameter set.</w:t>
      </w:r>
    </w:p>
    <w:p>
      <w:r>
        <w:t>The out-of-sample results do not show that the strategy consistently achieves the project's return targets across all instruments. Positive results were recorded on USDCHF and USDCAD, while other instruments produced small to large losses. JPN225 also exceeded the maximum drawdown target. The results therefore indicate that further development is needed before the strategy can be considered stable across multiple markets.</w:t>
      </w:r>
    </w:p>
    <w:p>
      <w:r>
        <w:t>The final report presents the actual test results rather than changing risk or parameters to create more favorable results. Further work should focus on cross-market robustness, full seven-year fixed-parameter testing, exact monthly analysis, and completion of the portfolio-risk control.</w:t>
      </w:r>
    </w:p>
    <w:p>
      <w:pPr>
        <w:pStyle w:val="Heading1"/>
      </w:pPr>
      <w:r>
        <w:t>13. Project Files</w:t>
      </w:r>
    </w:p>
    <w:p>
      <w:r>
        <w:t>The final submission should contain the EA source file (.mq5), compiled Expert Advisor (.ex5), optimization results, tester reports or screenshots, and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