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200"/>
        <w:jc w:val="center"/>
      </w:pPr>
      <w:r>
        <w:rPr>
          <w:rFonts w:ascii="Georgia" w:cs="Georgia" w:eastAsia="Georgia" w:hAnsi="Georgia"/>
          <w:b/>
          <w:bCs/>
          <w:color w:val="2D4A3E"/>
          <w:sz w:val="48"/>
          <w:szCs w:val="48"/>
        </w:rPr>
        <w:t xml:space="preserve">FINANCIAL HEALTH CHECK</w:t>
      </w:r>
    </w:p>
    <w:p>
      <w:pPr>
        <w:spacing w:after="100"/>
        <w:jc w:val="center"/>
      </w:pPr>
      <w:r>
        <w:rPr>
          <w:rFonts w:ascii="Georgia" w:cs="Georgia" w:eastAsia="Georgia" w:hAnsi="Georgia"/>
          <w:color w:val="4A8B7A"/>
          <w:sz w:val="28"/>
          <w:szCs w:val="28"/>
        </w:rPr>
        <w:t xml:space="preserve">Web Feature — Technical Specification</w:t>
      </w:r>
    </w:p>
    <w:p>
      <w:pPr>
        <w:spacing w:after="600"/>
        <w:jc w:val="center"/>
      </w:pPr>
      <w:r>
        <w:rPr>
          <w:rFonts w:ascii="Arial" w:cs="Arial" w:eastAsia="Arial" w:hAnsi="Arial"/>
          <w:i/>
          <w:iCs/>
          <w:color w:val="D4856B"/>
          <w:sz w:val="24"/>
          <w:szCs w:val="24"/>
        </w:rPr>
        <w:t xml:space="preserve">Cek Kesehatan Keuanganmu — Gratis, Cuma 1 Klik!</w:t>
      </w:r>
    </w:p>
    <w:p>
      <w:pPr>
        <w:spacing w:after="60"/>
      </w:pPr>
    </w:p>
    <w:p>
      <w:pPr>
        <w:spacing w:after="60"/>
        <w:jc w:val="center"/>
      </w:pPr>
      <w:r>
        <w:rPr>
          <w:rFonts w:ascii="Arial" w:cs="Arial" w:eastAsia="Arial" w:hAnsi="Arial"/>
          <w:color w:val="666666"/>
          <w:sz w:val="22"/>
          <w:szCs w:val="22"/>
        </w:rPr>
        <w:t xml:space="preserve">Prepared for: Web Developer</w:t>
      </w:r>
    </w:p>
    <w:p>
      <w:pPr>
        <w:spacing w:after="60"/>
        <w:jc w:val="center"/>
      </w:pPr>
      <w:r>
        <w:rPr>
          <w:rFonts w:ascii="Arial" w:cs="Arial" w:eastAsia="Arial" w:hAnsi="Arial"/>
          <w:color w:val="666666"/>
          <w:sz w:val="22"/>
          <w:szCs w:val="22"/>
        </w:rPr>
        <w:t xml:space="preserve">Brand: TemanTumbuh — temantumbuh.com</w:t>
      </w:r>
    </w:p>
    <w:p>
      <w:pPr>
        <w:spacing w:after="60"/>
        <w:jc w:val="center"/>
      </w:pPr>
      <w:r>
        <w:rPr>
          <w:rFonts w:ascii="Arial" w:cs="Arial" w:eastAsia="Arial" w:hAnsi="Arial"/>
          <w:color w:val="666666"/>
          <w:sz w:val="22"/>
          <w:szCs w:val="22"/>
        </w:rPr>
        <w:t xml:space="preserve">By: Aditya Very Cleverina, CFP® — Certified Financial Planner</w:t>
      </w:r>
    </w:p>
    <w:p>
      <w:pPr>
        <w:spacing w:after="400"/>
        <w:jc w:val="center"/>
      </w:pPr>
      <w:r>
        <w:rPr>
          <w:rFonts w:ascii="Arial" w:cs="Arial" w:eastAsia="Arial" w:hAnsi="Arial"/>
          <w:color w:val="999999"/>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rPr>
          <w:rFonts w:ascii="Arial" w:cs="Arial" w:eastAsia="Arial" w:hAnsi="Arial"/>
          <w:sz w:val="22"/>
          <w:szCs w:val="22"/>
        </w:rPr>
        <w:t xml:space="preserve">This document specifies the questions, input types, answer options, and calculation formulas for the TemanTumbuh Financial Health Check feature. The tool allows users to measure their financial health for free by answering a short questionnaire. Results are displayed instantly with a score and actionable recommendations.</w:t>
      </w:r>
    </w:p>
    <w:p>
      <w:pPr>
        <w:spacing w:after="60"/>
      </w:pPr>
    </w:p>
    <w:p>
      <w:pPr>
        <w:spacing w:after="120"/>
      </w:pPr>
      <w:r>
        <w:rPr>
          <w:rFonts w:ascii="Arial" w:cs="Arial" w:eastAsia="Arial" w:hAnsi="Arial"/>
          <w:b/>
          <w:bCs/>
          <w:sz w:val="22"/>
          <w:szCs w:val="22"/>
        </w:rPr>
        <w:t xml:space="preserve">User Flow:</w:t>
      </w:r>
    </w:p>
    <w:p>
      <w:pPr>
        <w:spacing w:after="120"/>
      </w:pPr>
      <w:r>
        <w:rPr>
          <w:rFonts w:ascii="Arial" w:cs="Arial" w:eastAsia="Arial" w:hAnsi="Arial"/>
          <w:sz w:val="22"/>
          <w:szCs w:val="22"/>
        </w:rPr>
        <w:t xml:space="preserve">1. User lands on the Financial Health Check page</w:t>
      </w:r>
    </w:p>
    <w:p>
      <w:pPr>
        <w:spacing w:after="120"/>
      </w:pPr>
      <w:r>
        <w:rPr>
          <w:rFonts w:ascii="Arial" w:cs="Arial" w:eastAsia="Arial" w:hAnsi="Arial"/>
          <w:sz w:val="22"/>
          <w:szCs w:val="22"/>
        </w:rPr>
        <w:t xml:space="preserve">2. User answers 7 sections of questions (can be multi-step form or single scrollable page)</w:t>
      </w:r>
    </w:p>
    <w:p>
      <w:pPr>
        <w:spacing w:after="120"/>
      </w:pPr>
      <w:r>
        <w:rPr>
          <w:rFonts w:ascii="Arial" w:cs="Arial" w:eastAsia="Arial" w:hAnsi="Arial"/>
          <w:sz w:val="22"/>
          <w:szCs w:val="22"/>
        </w:rPr>
        <w:t xml:space="preserve">3. System calculates 6 financial ratios from the inputs</w:t>
      </w:r>
    </w:p>
    <w:p>
      <w:pPr>
        <w:spacing w:after="120"/>
      </w:pPr>
      <w:r>
        <w:rPr>
          <w:rFonts w:ascii="Arial" w:cs="Arial" w:eastAsia="Arial" w:hAnsi="Arial"/>
          <w:sz w:val="22"/>
          <w:szCs w:val="22"/>
        </w:rPr>
        <w:t xml:space="preserve">4. Results page shows overall score, individual ratio scores, and status per category</w:t>
      </w:r>
    </w:p>
    <w:p>
      <w:pPr>
        <w:spacing w:after="120"/>
      </w:pPr>
      <w:r>
        <w:rPr>
          <w:rFonts w:ascii="Arial" w:cs="Arial" w:eastAsia="Arial" w:hAnsi="Arial"/>
          <w:sz w:val="22"/>
          <w:szCs w:val="22"/>
        </w:rPr>
        <w:t xml:space="preserve">5. CTA to book a consultation with TemanTumbuh for personalized advice</w:t>
      </w:r>
    </w:p>
    <w:p>
      <w:pPr>
        <w:spacing w:after="60"/>
      </w:pPr>
    </w:p>
    <w:p>
      <w:pPr>
        <w:spacing w:after="120"/>
      </w:pPr>
      <w:r>
        <w:rPr>
          <w:rFonts w:ascii="Arial" w:cs="Arial" w:eastAsia="Arial" w:hAnsi="Arial"/>
          <w:b/>
          <w:bCs/>
          <w:sz w:val="22"/>
          <w:szCs w:val="22"/>
        </w:rPr>
        <w:t xml:space="preserve">Important Notes for Developer:</w:t>
      </w:r>
    </w:p>
    <w:p>
      <w:pPr>
        <w:spacing w:after="120"/>
      </w:pPr>
      <w:r>
        <w:rPr>
          <w:rFonts w:ascii="Arial" w:cs="Arial" w:eastAsia="Arial" w:hAnsi="Arial"/>
          <w:sz w:val="22"/>
          <w:szCs w:val="22"/>
        </w:rPr>
        <w:t xml:space="preserve">• All currency inputs are in IDR (Indonesian Rupiah). Use Rp prefix and thousand separators.</w:t>
      </w:r>
    </w:p>
    <w:p>
      <w:pPr>
        <w:spacing w:after="120"/>
      </w:pPr>
      <w:r>
        <w:rPr>
          <w:rFonts w:ascii="Arial" w:cs="Arial" w:eastAsia="Arial" w:hAnsi="Arial"/>
          <w:sz w:val="22"/>
          <w:szCs w:val="22"/>
        </w:rPr>
        <w:t xml:space="preserve">• All calculations happen client-side (no backend needed for MVP).</w:t>
      </w:r>
    </w:p>
    <w:p>
      <w:pPr>
        <w:spacing w:after="120"/>
      </w:pPr>
      <w:r>
        <w:rPr>
          <w:rFonts w:ascii="Arial" w:cs="Arial" w:eastAsia="Arial" w:hAnsi="Arial"/>
          <w:sz w:val="22"/>
          <w:szCs w:val="22"/>
        </w:rPr>
        <w:t xml:space="preserve">• No login required — the tool is free and anonymous.</w:t>
      </w:r>
    </w:p>
    <w:p>
      <w:pPr>
        <w:spacing w:after="120"/>
      </w:pPr>
      <w:r>
        <w:rPr>
          <w:rFonts w:ascii="Arial" w:cs="Arial" w:eastAsia="Arial" w:hAnsi="Arial"/>
          <w:sz w:val="22"/>
          <w:szCs w:val="22"/>
        </w:rPr>
        <w:t xml:space="preserve">• Optional: collect name &amp; email at the end to send results (lead generation).</w:t>
      </w:r>
    </w:p>
    <w:p>
      <w:r>
        <w:br w:type="page"/>
      </w:r>
    </w:p>
    <w:p>
      <w:pPr>
        <w:pStyle w:val="Heading1"/>
      </w:pPr>
      <w:r>
        <w:t xml:space="preserve">2. Questionnaire — Questions &amp; Input Specification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Section A — Personal Profile</w:t>
            </w:r>
          </w:p>
        </w:tc>
      </w:tr>
    </w:tbl>
    <w:p>
      <w:pPr>
        <w:spacing w:after="60"/>
      </w:pPr>
    </w:p>
    <w:p>
      <w:pPr>
        <w:spacing w:after="120"/>
      </w:pPr>
      <w:r>
        <w:rPr>
          <w:rFonts w:ascii="Arial" w:cs="Arial" w:eastAsia="Arial" w:hAnsi="Arial"/>
          <w:sz w:val="22"/>
          <w:szCs w:val="22"/>
        </w:rPr>
        <w:t xml:space="preserve">Purpose: Determine the user's life stage to set benchmark targets (e.g., emergency fund months).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2660"/>
        <w:gridCol w:w="1500"/>
      </w:tblGrid>
      <w:tr>
        <w:tc>
          <w:tcPr>
            <w:tcW w:type="dxa" w:w="12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 Question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26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Usia (Age)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Number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Min: 17, Max: 70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Benchmark adjustment</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A2</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Status Pernikahan</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Single select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Lajang / Menikah / Cerai</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Emergency fund months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A3</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Jumlah Tanggungan (Dependents)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Number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Min: 0, Max: 10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Emergency fund months</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A4</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Status Pekerjaan</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Single select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Karyawan / PNS-TNI-Polri / Wirausaha / Freelancer / Belum Bekerja</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Income stability factor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Section B — Income (Penghasilan)</w:t>
            </w:r>
          </w:p>
        </w:tc>
      </w:tr>
    </w:tbl>
    <w:p>
      <w:pPr>
        <w:spacing w:after="60"/>
      </w:pPr>
    </w:p>
    <w:p>
      <w:pPr>
        <w:spacing w:after="120"/>
      </w:pPr>
      <w:r>
        <w:rPr>
          <w:rFonts w:ascii="Arial" w:cs="Arial" w:eastAsia="Arial" w:hAnsi="Arial"/>
          <w:sz w:val="22"/>
          <w:szCs w:val="22"/>
        </w:rPr>
        <w:t xml:space="preserve">Purpose: Calculate total monthly income as the denominator for most ratios.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2660"/>
        <w:gridCol w:w="1500"/>
      </w:tblGrid>
      <w:tr>
        <w:tc>
          <w:tcPr>
            <w:tcW w:type="dxa" w:w="12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 Question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26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Gaji/Penghasilan Utama per Bulan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Income</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B2</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Pendapatan Sampingan per Bulan</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Rp, min 0 (default 0)</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Income</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B3</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Pendapatan Pasif per Bulan (sewa, dividen, dll)</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 (default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Income</w:t>
            </w:r>
          </w:p>
        </w:tc>
      </w:tr>
    </w:tbl>
    <w:p>
      <w:pPr>
        <w:spacing w:after="60"/>
      </w:pPr>
    </w:p>
    <w:p>
      <w:pPr>
        <w:spacing w:after="120"/>
      </w:pPr>
      <w:r>
        <w:rPr>
          <w:rFonts w:ascii="Arial" w:cs="Arial" w:eastAsia="Arial" w:hAnsi="Arial"/>
          <w:b/>
          <w:bCs/>
          <w:color w:val="2D4A3E"/>
          <w:sz w:val="22"/>
          <w:szCs w:val="22"/>
        </w:rPr>
        <w:t xml:space="preserve">Variable: Total_Monthly_Income = B1 + B2 + B3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Section C — Monthly Expenses (Pengeluaran Bulanan)</w:t>
            </w:r>
          </w:p>
        </w:tc>
      </w:tr>
    </w:tbl>
    <w:p>
      <w:pPr>
        <w:spacing w:after="60"/>
      </w:pPr>
    </w:p>
    <w:p>
      <w:pPr>
        <w:spacing w:after="120"/>
      </w:pPr>
      <w:r>
        <w:rPr>
          <w:rFonts w:ascii="Arial" w:cs="Arial" w:eastAsia="Arial" w:hAnsi="Arial"/>
          <w:sz w:val="22"/>
          <w:szCs w:val="22"/>
        </w:rPr>
        <w:t xml:space="preserve">Purpose: Calculate total monthly expenses and monthly debt payments (cicilan).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2660"/>
        <w:gridCol w:w="1500"/>
      </w:tblGrid>
      <w:tr>
        <w:tc>
          <w:tcPr>
            <w:tcW w:type="dxa" w:w="12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 Question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26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Kebutuhan Pokok (makan, listrik, air, internet)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Expenses</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C2</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Transportasi</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Expenses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C3</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Cicilan Utang per Bulan (KPR, KKB, Kartu Kredit, Pinjaman)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Debt Service Ratio</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C4</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Premi Asuransi per Bulan</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Expenses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C5</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Pengeluaran Lainnya (hiburan, sedekah, pendidikan, dll)</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Expenses</w:t>
            </w:r>
          </w:p>
        </w:tc>
      </w:tr>
    </w:tbl>
    <w:p>
      <w:pPr>
        <w:spacing w:after="60"/>
      </w:pPr>
    </w:p>
    <w:p>
      <w:pPr>
        <w:spacing w:after="120"/>
      </w:pPr>
      <w:r>
        <w:rPr>
          <w:rFonts w:ascii="Arial" w:cs="Arial" w:eastAsia="Arial" w:hAnsi="Arial"/>
          <w:b/>
          <w:bCs/>
          <w:color w:val="2D4A3E"/>
          <w:sz w:val="22"/>
          <w:szCs w:val="22"/>
        </w:rPr>
        <w:t xml:space="preserve">Variable: Total_Monthly_Expenses = C1 + C2 + C3 + C4 + C5</w:t>
      </w:r>
    </w:p>
    <w:p>
      <w:pPr>
        <w:spacing w:after="120"/>
      </w:pPr>
      <w:r>
        <w:rPr>
          <w:rFonts w:ascii="Arial" w:cs="Arial" w:eastAsia="Arial" w:hAnsi="Arial"/>
          <w:b/>
          <w:bCs/>
          <w:color w:val="2D4A3E"/>
          <w:sz w:val="22"/>
          <w:szCs w:val="22"/>
        </w:rPr>
        <w:t xml:space="preserve">Variable: Monthly_Debt_Payment = C3</w:t>
      </w:r>
    </w:p>
    <w:p>
      <w:pPr>
        <w:spacing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Section D — Savings &amp; Investments (Tabungan &amp; Investasi)</w:t>
            </w:r>
          </w:p>
        </w:tc>
      </w:tr>
    </w:tbl>
    <w:p>
      <w:pPr>
        <w:spacing w:after="60"/>
      </w:pPr>
    </w:p>
    <w:p>
      <w:pPr>
        <w:spacing w:after="120"/>
      </w:pPr>
      <w:r>
        <w:rPr>
          <w:rFonts w:ascii="Arial" w:cs="Arial" w:eastAsia="Arial" w:hAnsi="Arial"/>
          <w:sz w:val="22"/>
          <w:szCs w:val="22"/>
        </w:rPr>
        <w:t xml:space="preserve">Purpose: Calculate saving ratio and investment assets ratio.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2660"/>
        <w:gridCol w:w="1500"/>
      </w:tblGrid>
      <w:tr>
        <w:tc>
          <w:tcPr>
            <w:tcW w:type="dxa" w:w="12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 Question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26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Jumlah yang Ditabung + Diinvestasikan per Bulan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Saving Ratio</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D2</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Nilai Tabungan Saat Ini (semua rekening bank)</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Liquidity Ratio</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D3</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Nilai Investasi Saat Ini (reksadana, saham, emas, deposito, obligasi, dll)</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Investment Assets Ratio</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D4</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Produk Investasi yang Dimiliki</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Multi-select checkbox</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Deposito / Reksadana / Saham / Obligasi-SBN / Emas-Logam Mulia / P2P Lending / Properti Investasi / Belum punya</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Diversification info (display only)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Section E — Assets (Aset)</w:t>
            </w:r>
          </w:p>
        </w:tc>
      </w:tr>
    </w:tbl>
    <w:p>
      <w:pPr>
        <w:spacing w:after="60"/>
      </w:pPr>
    </w:p>
    <w:p>
      <w:pPr>
        <w:spacing w:after="120"/>
      </w:pPr>
      <w:r>
        <w:rPr>
          <w:rFonts w:ascii="Arial" w:cs="Arial" w:eastAsia="Arial" w:hAnsi="Arial"/>
          <w:sz w:val="22"/>
          <w:szCs w:val="22"/>
        </w:rPr>
        <w:t xml:space="preserve">Purpose: Calculate total assets for net worth and solvency ratio.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2660"/>
        <w:gridCol w:w="1500"/>
      </w:tblGrid>
      <w:tr>
        <w:tc>
          <w:tcPr>
            <w:tcW w:type="dxa" w:w="12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 Question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26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Nilai Kas &amp; Tabungan (= D2, auto-filled)</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Auto-filled</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Pulled from D2</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Assets</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E2</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Nilai Investasi (= D3, auto-filled)</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Auto-filled</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Pulled from D3</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Assets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E3</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Nilai Properti (rumah, tanah, bangunan)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Assets</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E4</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Nilai Kendaraan</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Assets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E5</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Aset Lainnya (perhiasan, koleksi, dll)</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Assets</w:t>
            </w:r>
          </w:p>
        </w:tc>
      </w:tr>
    </w:tbl>
    <w:p>
      <w:pPr>
        <w:spacing w:after="60"/>
      </w:pPr>
    </w:p>
    <w:p>
      <w:pPr>
        <w:spacing w:after="120"/>
      </w:pPr>
      <w:r>
        <w:rPr>
          <w:rFonts w:ascii="Arial" w:cs="Arial" w:eastAsia="Arial" w:hAnsi="Arial"/>
          <w:b/>
          <w:bCs/>
          <w:color w:val="2D4A3E"/>
          <w:sz w:val="22"/>
          <w:szCs w:val="22"/>
        </w:rPr>
        <w:t xml:space="preserve">Variable: Total_Assets = E1 + E2 + E3 + E4 + E5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Section F — Debts / Liabilities (Utang)</w:t>
            </w:r>
          </w:p>
        </w:tc>
      </w:tr>
    </w:tbl>
    <w:p>
      <w:pPr>
        <w:spacing w:after="60"/>
      </w:pPr>
    </w:p>
    <w:p>
      <w:pPr>
        <w:spacing w:after="120"/>
      </w:pPr>
      <w:r>
        <w:rPr>
          <w:rFonts w:ascii="Arial" w:cs="Arial" w:eastAsia="Arial" w:hAnsi="Arial"/>
          <w:sz w:val="22"/>
          <w:szCs w:val="22"/>
        </w:rPr>
        <w:t xml:space="preserve">Purpose: Calculate total liabilities for net worth and solvency ratio.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2660"/>
        <w:gridCol w:w="1500"/>
      </w:tblGrid>
      <w:tr>
        <w:tc>
          <w:tcPr>
            <w:tcW w:type="dxa" w:w="12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 Question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26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Sisa KPR / Kredit Properti</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Liabilities</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F2</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Sisa Kredit Kendaraan</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Liabilities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F3</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Sisa Utang Kartu Kredit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Liabilities</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F4</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Sisa Pinjaman Lainnya (KTA, pinjol, pinjaman keluarga)</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Rp, min 0</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Liabilities</w:t>
            </w:r>
          </w:p>
        </w:tc>
      </w:tr>
    </w:tbl>
    <w:p>
      <w:pPr>
        <w:spacing w:after="60"/>
      </w:pPr>
    </w:p>
    <w:p>
      <w:pPr>
        <w:spacing w:after="120"/>
      </w:pPr>
      <w:r>
        <w:rPr>
          <w:rFonts w:ascii="Arial" w:cs="Arial" w:eastAsia="Arial" w:hAnsi="Arial"/>
          <w:b/>
          <w:bCs/>
          <w:color w:val="2D4A3E"/>
          <w:sz w:val="22"/>
          <w:szCs w:val="22"/>
        </w:rPr>
        <w:t xml:space="preserve">Variable: Total_Liabilities = F1 + F2 + F3 + F4</w:t>
      </w:r>
    </w:p>
    <w:p>
      <w:pPr>
        <w:spacing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Section G — Insurance &amp; Protection (Asuransi &amp; Proteksi)</w:t>
            </w:r>
          </w:p>
        </w:tc>
      </w:tr>
    </w:tbl>
    <w:p>
      <w:pPr>
        <w:spacing w:after="60"/>
      </w:pPr>
    </w:p>
    <w:p>
      <w:pPr>
        <w:spacing w:after="120"/>
      </w:pPr>
      <w:r>
        <w:rPr>
          <w:rFonts w:ascii="Arial" w:cs="Arial" w:eastAsia="Arial" w:hAnsi="Arial"/>
          <w:sz w:val="22"/>
          <w:szCs w:val="22"/>
        </w:rPr>
        <w:t xml:space="preserve">Purpose: Assess whether the user has adequate protection coverage.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2660"/>
        <w:gridCol w:w="1500"/>
      </w:tblGrid>
      <w:tr>
        <w:tc>
          <w:tcPr>
            <w:tcW w:type="dxa" w:w="12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 Question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26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1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Apakah kamu punya asuransi kesehatan?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Single select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BPJS saja / BPJS + Swasta / Swasta saja / Tidak punya</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Insurance Score</w:t>
            </w:r>
          </w:p>
        </w:tc>
      </w:tr>
      <w:tr>
        <w:tc>
          <w:tcPr>
            <w:tcW w:type="dxa" w:w="1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G2</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Apakah kamu punya asuransi jiwa?</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Single select</w:t>
            </w:r>
          </w:p>
        </w:tc>
        <w:tc>
          <w:tcPr>
            <w:tcW w:type="dxa" w:w="2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Ya / Tidak</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Insurance Score</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G3</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Uang Pertanggungan (UP) Asuransi Jiwa</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Currency input</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Rp, min 0 (show if G2 = Ya)</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Insurance Coverage Ratio</w:t>
            </w:r>
          </w:p>
        </w:tc>
      </w:tr>
    </w:tbl>
    <w:p>
      <w:pPr>
        <w:spacing w:after="60"/>
      </w:pPr>
    </w:p>
    <w:p>
      <w:r>
        <w:br w:type="page"/>
      </w:r>
    </w:p>
    <w:p>
      <w:pPr>
        <w:pStyle w:val="Heading1"/>
      </w:pPr>
      <w:r>
        <w:t xml:space="preserve">3. Calculation Formulas — 6 Financial Health Ratios</w:t>
      </w:r>
    </w:p>
    <w:p>
      <w:pPr>
        <w:spacing w:after="60"/>
      </w:pPr>
    </w:p>
    <w:p>
      <w:pPr>
        <w:spacing w:after="120"/>
      </w:pPr>
      <w:r>
        <w:rPr>
          <w:rFonts w:ascii="Arial" w:cs="Arial" w:eastAsia="Arial" w:hAnsi="Arial"/>
          <w:sz w:val="22"/>
          <w:szCs w:val="22"/>
        </w:rPr>
        <w:t xml:space="preserve">Each ratio is scored independently on a traffic-light system: Sehat (Healthy / Green), Cukup (Fair / Yellow), Kurang Sehat (Unhealthy / Red). The overall score is the weighted average of all 6 ratios.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Ratio 1 — Emergency Fund / Liquidity Ratio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Formula</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D2 (Total Tabungan) ÷ Total_Monthly_Expenses</w:t>
            </w:r>
          </w:p>
        </w:tc>
      </w:tr>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Result Unit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X bulan (months of expenses covered)</w:t>
            </w:r>
          </w:p>
        </w:tc>
      </w:tr>
      <w:tr>
        <w:tc>
          <w:tcPr>
            <w:tcW w:type="dxa" w:w="25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b/>
                <w:bCs/>
                <w:color w:val="155724"/>
                <w:sz w:val="20"/>
                <w:szCs w:val="20"/>
              </w:rPr>
              <w:t xml:space="preserve">Sehat (Green)</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Lajang tanpa tanggungan: ≥ 6 bulan</w:t>
            </w:r>
          </w:p>
          <w:p>
            <w:r>
              <w:rPr>
                <w:rFonts w:ascii="Arial" w:cs="Arial" w:eastAsia="Arial" w:hAnsi="Arial"/>
                <w:sz w:val="20"/>
                <w:szCs w:val="20"/>
              </w:rPr>
              <w:t xml:space="preserve">Menikah / punya tanggungan: ≥ 9 bulan</w:t>
            </w:r>
          </w:p>
          <w:p>
            <w:r>
              <w:rPr>
                <w:rFonts w:ascii="Arial" w:cs="Arial" w:eastAsia="Arial" w:hAnsi="Arial"/>
                <w:sz w:val="20"/>
                <w:szCs w:val="20"/>
              </w:rPr>
              <w:t xml:space="preserve">Freelancer / Wirausaha: ≥ 12 bulan</w:t>
            </w:r>
          </w:p>
        </w:tc>
      </w:tr>
      <w:tr>
        <w:tc>
          <w:tcPr>
            <w:tcW w:type="dxa" w:w="25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b/>
                <w:bCs/>
                <w:color w:val="856404"/>
                <w:sz w:val="20"/>
                <w:szCs w:val="20"/>
              </w:rPr>
              <w:t xml:space="preserve">Cukup (Yellow)</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3–5 bulan (Lajang) / 6–8 bulan (Menikah) / 6–11 bulan (Freelancer)</w:t>
            </w:r>
          </w:p>
        </w:tc>
      </w:tr>
      <w:tr>
        <w:tc>
          <w:tcPr>
            <w:tcW w:type="dxa" w:w="250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b/>
                <w:bCs/>
                <w:color w:val="721C24"/>
                <w:sz w:val="20"/>
                <w:szCs w:val="20"/>
              </w:rPr>
              <w:t xml:space="preserve">Kurang Sehat (Red)</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3 bulan (Lajang) / &lt; 6 bulan (Menikah) / &lt; 6 bulan (Freelancer)</w:t>
            </w:r>
          </w:p>
        </w:tc>
      </w:tr>
    </w:tbl>
    <w:p>
      <w:pPr>
        <w:spacing w:after="60"/>
      </w:pPr>
    </w:p>
    <w:p>
      <w:pPr>
        <w:spacing w:after="120"/>
      </w:pPr>
      <w:r>
        <w:rPr>
          <w:rFonts w:ascii="Arial" w:cs="Arial" w:eastAsia="Arial" w:hAnsi="Arial"/>
          <w:sz w:val="22"/>
          <w:szCs w:val="22"/>
        </w:rPr>
        <w:t xml:space="preserve">Note: The target months depend on Section A answers (marital status, dependents, job type). Use the highest applicable benchmark.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Ratio 2 — Saving Ratio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Formula</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D1 (Tabungan + Investasi per bulan) ÷ Total_Monthly_Income × 100%</w:t>
            </w:r>
          </w:p>
        </w:tc>
      </w:tr>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Result Unit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Percentage (%)</w:t>
            </w:r>
          </w:p>
        </w:tc>
      </w:tr>
      <w:tr>
        <w:tc>
          <w:tcPr>
            <w:tcW w:type="dxa" w:w="25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b/>
                <w:bCs/>
                <w:color w:val="155724"/>
                <w:sz w:val="20"/>
                <w:szCs w:val="20"/>
              </w:rPr>
              <w:t xml:space="preserve">Sehat (Green)</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20%</w:t>
            </w:r>
          </w:p>
        </w:tc>
      </w:tr>
      <w:tr>
        <w:tc>
          <w:tcPr>
            <w:tcW w:type="dxa" w:w="25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b/>
                <w:bCs/>
                <w:color w:val="856404"/>
                <w:sz w:val="20"/>
                <w:szCs w:val="20"/>
              </w:rPr>
              <w:t xml:space="preserve">Cukup (Yellow)</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 – 19%</w:t>
            </w:r>
          </w:p>
        </w:tc>
      </w:tr>
      <w:tr>
        <w:tc>
          <w:tcPr>
            <w:tcW w:type="dxa" w:w="250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b/>
                <w:bCs/>
                <w:color w:val="721C24"/>
                <w:sz w:val="20"/>
                <w:szCs w:val="20"/>
              </w:rPr>
              <w:t xml:space="preserve">Kurang Sehat (Red)</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10%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Ratio 3 — Debt Service Ratio (Rasio Cicilan Utang)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Formula</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C3 (Monthly_Debt_Payment) ÷ Total_Monthly_Income × 100%</w:t>
            </w:r>
          </w:p>
        </w:tc>
      </w:tr>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Result Unit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Percentage (%)</w:t>
            </w:r>
          </w:p>
        </w:tc>
      </w:tr>
      <w:tr>
        <w:tc>
          <w:tcPr>
            <w:tcW w:type="dxa" w:w="25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b/>
                <w:bCs/>
                <w:color w:val="155724"/>
                <w:sz w:val="20"/>
                <w:szCs w:val="20"/>
              </w:rPr>
              <w:t xml:space="preserve">Sehat (Green)</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30%</w:t>
            </w:r>
          </w:p>
        </w:tc>
      </w:tr>
      <w:tr>
        <w:tc>
          <w:tcPr>
            <w:tcW w:type="dxa" w:w="25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b/>
                <w:bCs/>
                <w:color w:val="856404"/>
                <w:sz w:val="20"/>
                <w:szCs w:val="20"/>
              </w:rPr>
              <w:t xml:space="preserve">Cukup (Yellow)</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31% – 40%</w:t>
            </w:r>
          </w:p>
        </w:tc>
      </w:tr>
      <w:tr>
        <w:tc>
          <w:tcPr>
            <w:tcW w:type="dxa" w:w="250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b/>
                <w:bCs/>
                <w:color w:val="721C24"/>
                <w:sz w:val="20"/>
                <w:szCs w:val="20"/>
              </w:rPr>
              <w:t xml:space="preserve">Kurang Sehat (Red)</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&gt; 40%</w:t>
            </w:r>
          </w:p>
        </w:tc>
      </w:tr>
    </w:tbl>
    <w:p>
      <w:pPr>
        <w:spacing w:after="60"/>
      </w:pPr>
    </w:p>
    <w:p>
      <w:pPr>
        <w:spacing w:after="120"/>
      </w:pPr>
      <w:r>
        <w:rPr>
          <w:rFonts w:ascii="Arial" w:cs="Arial" w:eastAsia="Arial" w:hAnsi="Arial"/>
          <w:sz w:val="22"/>
          <w:szCs w:val="22"/>
        </w:rPr>
        <w:t xml:space="preserve">Note: If Monthly_Debt_Payment = 0, this ratio is automatically Sehat.</w:t>
      </w:r>
    </w:p>
    <w:p>
      <w:pPr>
        <w:spacing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Ratio 4 — Solvency Ratio (Net Worth / Rasio Kekayaan Bersih)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Formula</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(Total_Assets − Total_Liabilities) ÷ Total_Assets × 100%</w:t>
            </w:r>
          </w:p>
        </w:tc>
      </w:tr>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Also Known As</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Net Worth Ratio. If Total_Assets = 0, display "Data tidak cukup"</w:t>
            </w:r>
          </w:p>
        </w:tc>
      </w:tr>
      <w:tr>
        <w:tc>
          <w:tcPr>
            <w:tcW w:type="dxa" w:w="25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b/>
                <w:bCs/>
                <w:color w:val="155724"/>
                <w:sz w:val="20"/>
                <w:szCs w:val="20"/>
              </w:rPr>
              <w:t xml:space="preserve">Sehat (Green)</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50% (assets significantly outweigh debts)</w:t>
            </w:r>
          </w:p>
        </w:tc>
      </w:tr>
      <w:tr>
        <w:tc>
          <w:tcPr>
            <w:tcW w:type="dxa" w:w="25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b/>
                <w:bCs/>
                <w:color w:val="856404"/>
                <w:sz w:val="20"/>
                <w:szCs w:val="20"/>
              </w:rPr>
              <w:t xml:space="preserve">Cukup (Yellow)</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 – 49%</w:t>
            </w:r>
          </w:p>
        </w:tc>
      </w:tr>
      <w:tr>
        <w:tc>
          <w:tcPr>
            <w:tcW w:type="dxa" w:w="250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b/>
                <w:bCs/>
                <w:color w:val="721C24"/>
                <w:sz w:val="20"/>
                <w:szCs w:val="20"/>
              </w:rPr>
              <w:t xml:space="preserve">Kurang Sehat (Red)</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20% or negative (utang lebih besar dari aset)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Ratio 5 — Investment Assets Ratio (Rasio Aset Investasi)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Formula</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D3 (Total Investasi) ÷ Total_Assets × 100%</w:t>
            </w:r>
          </w:p>
        </w:tc>
      </w:tr>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Result Unit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Percentage (%). If Total_Assets = 0, display "Data tidak cukup"</w:t>
            </w:r>
          </w:p>
        </w:tc>
      </w:tr>
      <w:tr>
        <w:tc>
          <w:tcPr>
            <w:tcW w:type="dxa" w:w="25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b/>
                <w:bCs/>
                <w:color w:val="155724"/>
                <w:sz w:val="20"/>
                <w:szCs w:val="20"/>
              </w:rPr>
              <w:t xml:space="preserve">Sehat (Green)</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50% of total assets are invested / productive</w:t>
            </w:r>
          </w:p>
        </w:tc>
      </w:tr>
      <w:tr>
        <w:tc>
          <w:tcPr>
            <w:tcW w:type="dxa" w:w="25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b/>
                <w:bCs/>
                <w:color w:val="856404"/>
                <w:sz w:val="20"/>
                <w:szCs w:val="20"/>
              </w:rPr>
              <w:t xml:space="preserve">Cukup (Yellow)</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 – 49%</w:t>
            </w:r>
          </w:p>
        </w:tc>
      </w:tr>
      <w:tr>
        <w:tc>
          <w:tcPr>
            <w:tcW w:type="dxa" w:w="250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b/>
                <w:bCs/>
                <w:color w:val="721C24"/>
                <w:sz w:val="20"/>
                <w:szCs w:val="20"/>
              </w:rPr>
              <w:t xml:space="preserve">Kurang Sehat (Red)</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20%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8B7A" w:val="clear"/>
            <w:tcMar>
              <w:top w:type="dxa" w:w="120"/>
              <w:left w:type="dxa" w:w="200"/>
              <w:bottom w:type="dxa" w:w="120"/>
              <w:right w:type="dxa" w:w="200"/>
            </w:tcMar>
          </w:tcPr>
          <w:p>
            <w:r>
              <w:rPr>
                <w:rFonts w:ascii="Georgia" w:cs="Georgia" w:eastAsia="Georgia" w:hAnsi="Georgia"/>
                <w:b/>
                <w:bCs/>
                <w:color w:val="FFFFFF"/>
                <w:sz w:val="26"/>
                <w:szCs w:val="26"/>
              </w:rPr>
              <w:t xml:space="preserve">Ratio 6 — Insurance Coverage Ratio (Rasio Proteksi)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0EB" w:val="clear"/>
            <w:tcMar>
              <w:top w:type="dxa" w:w="80"/>
              <w:left w:type="dxa" w:w="120"/>
              <w:bottom w:type="dxa" w:w="80"/>
              <w:right w:type="dxa" w:w="120"/>
            </w:tcMar>
            <w:vAlign w:val="top"/>
          </w:tcPr>
          <w:p>
            <w:r>
              <w:rPr>
                <w:rFonts w:ascii="Arial" w:cs="Arial" w:eastAsia="Arial" w:hAnsi="Arial"/>
                <w:b/>
                <w:bCs/>
                <w:sz w:val="20"/>
                <w:szCs w:val="20"/>
              </w:rPr>
              <w:t xml:space="preserve">Formula</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Scoring based on G1 + G2 answers (see scoring table below)</w:t>
            </w:r>
          </w:p>
        </w:tc>
      </w:tr>
      <w:tr>
        <w:tc>
          <w:tcPr>
            <w:tcW w:type="dxa" w:w="25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b/>
                <w:bCs/>
                <w:color w:val="155724"/>
                <w:sz w:val="20"/>
                <w:szCs w:val="20"/>
              </w:rPr>
              <w:t xml:space="preserve">Sehat (Green)</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Has health insurance (BPJS + Swasta) AND life insurance with UP ≥ 10× annual income</w:t>
            </w:r>
          </w:p>
        </w:tc>
      </w:tr>
      <w:tr>
        <w:tc>
          <w:tcPr>
            <w:tcW w:type="dxa" w:w="25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b/>
                <w:bCs/>
                <w:color w:val="856404"/>
                <w:sz w:val="20"/>
                <w:szCs w:val="20"/>
              </w:rPr>
              <w:t xml:space="preserve">Cukup (Yellow)</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Has BPJS only, OR has life insurance but UP &lt; 10× annual income</w:t>
            </w:r>
          </w:p>
        </w:tc>
      </w:tr>
      <w:tr>
        <w:tc>
          <w:tcPr>
            <w:tcW w:type="dxa" w:w="250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b/>
                <w:bCs/>
                <w:color w:val="721C24"/>
                <w:sz w:val="20"/>
                <w:szCs w:val="20"/>
              </w:rPr>
              <w:t xml:space="preserve">Kurang Sehat (Red)</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health insurance AND no life insurance</w:t>
            </w:r>
          </w:p>
        </w:tc>
      </w:tr>
    </w:tbl>
    <w:p>
      <w:pPr>
        <w:spacing w:after="60"/>
      </w:pPr>
    </w:p>
    <w:p>
      <w:pPr>
        <w:spacing w:after="120"/>
      </w:pPr>
      <w:r>
        <w:rPr>
          <w:rFonts w:ascii="Arial" w:cs="Arial" w:eastAsia="Arial" w:hAnsi="Arial"/>
          <w:b/>
          <w:bCs/>
          <w:sz w:val="22"/>
          <w:szCs w:val="22"/>
        </w:rPr>
        <w:t xml:space="preserve">Insurance Scoring Logic:</w:t>
      </w:r>
    </w:p>
    <w:p>
      <w:pPr>
        <w:spacing w:after="120"/>
      </w:pPr>
      <w:r>
        <w:rPr>
          <w:rFonts w:ascii="Arial" w:cs="Arial" w:eastAsia="Arial" w:hAnsi="Arial"/>
          <w:sz w:val="22"/>
          <w:szCs w:val="22"/>
        </w:rPr>
        <w:t xml:space="preserve">• Health Score: Tidak punya = 0 pts, BPJS saja = 1 pt, Swasta saja = 1 pt, BPJS + Swasta = 2 pts</w:t>
      </w:r>
    </w:p>
    <w:p>
      <w:pPr>
        <w:spacing w:after="120"/>
      </w:pPr>
      <w:r>
        <w:rPr>
          <w:rFonts w:ascii="Arial" w:cs="Arial" w:eastAsia="Arial" w:hAnsi="Arial"/>
          <w:sz w:val="22"/>
          <w:szCs w:val="22"/>
        </w:rPr>
        <w:t xml:space="preserve">• Life Score: Tidak punya = 0 pts, Punya tapi UP &lt; 10× annual income = 1 pt, UP ≥ 10× annual income = 2 pts</w:t>
      </w:r>
    </w:p>
    <w:p>
      <w:pPr>
        <w:spacing w:after="120"/>
      </w:pPr>
      <w:r>
        <w:rPr>
          <w:rFonts w:ascii="Arial" w:cs="Arial" w:eastAsia="Arial" w:hAnsi="Arial"/>
          <w:sz w:val="22"/>
          <w:szCs w:val="22"/>
        </w:rPr>
        <w:t xml:space="preserve">• Total: 0–1 = Red, 2–3 = Yellow, 4 = Green</w:t>
      </w:r>
    </w:p>
    <w:p>
      <w:pPr>
        <w:spacing w:after="60"/>
      </w:pPr>
    </w:p>
    <w:p>
      <w:r>
        <w:br w:type="page"/>
      </w:r>
    </w:p>
    <w:p>
      <w:pPr>
        <w:pStyle w:val="Heading1"/>
      </w:pPr>
      <w:r>
        <w:t xml:space="preserve">4. Overall Score Calculation</w:t>
      </w:r>
    </w:p>
    <w:p>
      <w:pPr>
        <w:spacing w:after="60"/>
      </w:pPr>
    </w:p>
    <w:p>
      <w:pPr>
        <w:spacing w:after="120"/>
      </w:pPr>
      <w:r>
        <w:rPr>
          <w:rFonts w:ascii="Arial" w:cs="Arial" w:eastAsia="Arial" w:hAnsi="Arial"/>
          <w:sz w:val="22"/>
          <w:szCs w:val="22"/>
        </w:rPr>
        <w:t xml:space="preserve">The overall financial health score is a weighted average of all 6 ratios, each converted to a 0–100 score.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w:t>
            </w:r>
          </w:p>
        </w:tc>
        <w:tc>
          <w:tcPr>
            <w:tcW w:type="dxa" w:w="18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7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Conversion</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 Emergency Fund Ratio</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Red = 25, Yellow = 60, Green = 100</w:t>
            </w:r>
          </w:p>
        </w:tc>
      </w:tr>
      <w:tr>
        <w:tc>
          <w:tcPr>
            <w:tcW w:type="dxa" w:w="3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2. Saving Ratio</w:t>
            </w:r>
          </w:p>
        </w:tc>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20%</w:t>
            </w:r>
          </w:p>
        </w:tc>
        <w:tc>
          <w:tcPr>
            <w:tcW w:type="dxa" w:w="3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Red = 25, Yellow = 60, Green = 100</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 Debt Service Ratio</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Red = 25, Yellow = 60, Green = 100</w:t>
            </w:r>
          </w:p>
        </w:tc>
      </w:tr>
      <w:tr>
        <w:tc>
          <w:tcPr>
            <w:tcW w:type="dxa" w:w="3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4. Solvency Ratio</w:t>
            </w:r>
          </w:p>
        </w:tc>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15%</w:t>
            </w:r>
          </w:p>
        </w:tc>
        <w:tc>
          <w:tcPr>
            <w:tcW w:type="dxa" w:w="3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Red = 25, Yellow = 60, Green = 100</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 Investment Assets Ratio</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Red = 25, Yellow = 60, Green = 100</w:t>
            </w:r>
          </w:p>
        </w:tc>
      </w:tr>
      <w:tr>
        <w:tc>
          <w:tcPr>
            <w:tcW w:type="dxa" w:w="3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6. Insurance Coverage Ratio</w:t>
            </w:r>
          </w:p>
        </w:tc>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15%</w:t>
            </w:r>
          </w:p>
        </w:tc>
        <w:tc>
          <w:tcPr>
            <w:tcW w:type="dxa" w:w="3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Red = 25, Yellow = 60, Green = 100</w:t>
            </w:r>
          </w:p>
        </w:tc>
      </w:tr>
    </w:tbl>
    <w:p>
      <w:pPr>
        <w:spacing w:after="60"/>
      </w:pPr>
    </w:p>
    <w:p>
      <w:pPr>
        <w:spacing w:after="120"/>
      </w:pPr>
      <w:r>
        <w:rPr>
          <w:rFonts w:ascii="Arial" w:cs="Arial" w:eastAsia="Arial" w:hAnsi="Arial"/>
          <w:b/>
          <w:bCs/>
          <w:sz w:val="22"/>
          <w:szCs w:val="22"/>
        </w:rPr>
        <w:t xml:space="preserve">Overall Score = Σ (Ratio Score × Weight)</w:t>
      </w:r>
    </w:p>
    <w:p>
      <w:pPr>
        <w:spacing w:after="60"/>
      </w:pPr>
    </w:p>
    <w:p>
      <w:pPr>
        <w:spacing w:after="120"/>
      </w:pPr>
      <w:r>
        <w:rPr>
          <w:rFonts w:ascii="Arial" w:cs="Arial" w:eastAsia="Arial" w:hAnsi="Arial"/>
          <w:sz w:val="22"/>
          <w:szCs w:val="22"/>
        </w:rPr>
        <w:t xml:space="preserve">Example: If all ratios are Green → 100 × (0.20+0.20+0.20+0.15+0.10+0.15) = 100</w:t>
      </w:r>
    </w:p>
    <w:p>
      <w:pPr>
        <w:spacing w:after="60"/>
      </w:pPr>
    </w:p>
    <w:p>
      <w:pPr>
        <w:spacing w:after="120"/>
      </w:pPr>
      <w:r>
        <w:rPr>
          <w:rFonts w:ascii="Arial" w:cs="Arial" w:eastAsia="Arial" w:hAnsi="Arial"/>
          <w:b/>
          <w:bCs/>
          <w:sz w:val="22"/>
          <w:szCs w:val="22"/>
        </w:rPr>
        <w:t xml:space="preserve">Overall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48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 Message</w:t>
            </w:r>
          </w:p>
        </w:tc>
      </w:tr>
      <w:tr>
        <w:tc>
          <w:tcPr>
            <w:tcW w:type="dxa" w:w="20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sz w:val="20"/>
                <w:szCs w:val="20"/>
              </w:rPr>
              <w:t xml:space="preserve">80 – 100</w:t>
            </w:r>
          </w:p>
        </w:tc>
        <w:tc>
          <w:tcPr>
            <w:tcW w:type="dxa" w:w="25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b/>
                <w:bCs/>
                <w:color w:val="155724"/>
                <w:sz w:val="20"/>
                <w:szCs w:val="20"/>
              </w:rPr>
              <w:t xml:space="preserve">Sangat Sehat</w:t>
            </w:r>
          </w:p>
        </w:tc>
        <w:tc>
          <w:tcPr>
            <w:tcW w:type="dxa" w:w="486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sz w:val="20"/>
                <w:szCs w:val="20"/>
              </w:rPr>
              <w:t xml:space="preserve">Keuanganmu dalam kondisi prima! Pertahankan dan terus kembangkan.</w:t>
            </w:r>
          </w:p>
        </w:tc>
      </w:tr>
      <w:tr>
        <w:tc>
          <w:tcPr>
            <w:tcW w:type="dxa" w:w="20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sz w:val="20"/>
                <w:szCs w:val="20"/>
              </w:rPr>
              <w:t xml:space="preserve">60 – 79</w:t>
            </w:r>
          </w:p>
        </w:tc>
        <w:tc>
          <w:tcPr>
            <w:tcW w:type="dxa" w:w="250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b/>
                <w:bCs/>
                <w:color w:val="155724"/>
                <w:sz w:val="20"/>
                <w:szCs w:val="20"/>
              </w:rPr>
              <w:t xml:space="preserve">Sehat</w:t>
            </w:r>
          </w:p>
        </w:tc>
        <w:tc>
          <w:tcPr>
            <w:tcW w:type="dxa" w:w="4860"/>
            <w:tcBorders>
              <w:top w:val="single" w:color="E0E0E0" w:sz="1"/>
              <w:left w:val="single" w:color="E0E0E0" w:sz="1"/>
              <w:bottom w:val="single" w:color="E0E0E0" w:sz="1"/>
              <w:right w:val="single" w:color="E0E0E0" w:sz="1"/>
            </w:tcBorders>
            <w:shd w:fill="D4EDDA" w:val="clear"/>
            <w:tcMar>
              <w:top w:type="dxa" w:w="80"/>
              <w:left w:type="dxa" w:w="120"/>
              <w:bottom w:type="dxa" w:w="80"/>
              <w:right w:type="dxa" w:w="120"/>
            </w:tcMar>
            <w:vAlign w:val="top"/>
          </w:tcPr>
          <w:p>
            <w:r>
              <w:rPr>
                <w:rFonts w:ascii="Arial" w:cs="Arial" w:eastAsia="Arial" w:hAnsi="Arial"/>
                <w:sz w:val="20"/>
                <w:szCs w:val="20"/>
              </w:rPr>
              <w:t xml:space="preserve">Keuanganmu sudah cukup baik. Beberapa area masih bisa dioptimalkan.</w:t>
            </w:r>
          </w:p>
        </w:tc>
      </w:tr>
      <w:tr>
        <w:tc>
          <w:tcPr>
            <w:tcW w:type="dxa" w:w="20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sz w:val="20"/>
                <w:szCs w:val="20"/>
              </w:rPr>
              <w:t xml:space="preserve">40 – 59</w:t>
            </w:r>
          </w:p>
        </w:tc>
        <w:tc>
          <w:tcPr>
            <w:tcW w:type="dxa" w:w="25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b/>
                <w:bCs/>
                <w:color w:val="856404"/>
                <w:sz w:val="20"/>
                <w:szCs w:val="20"/>
              </w:rPr>
              <w:t xml:space="preserve">Cukup</w:t>
            </w:r>
          </w:p>
        </w:tc>
        <w:tc>
          <w:tcPr>
            <w:tcW w:type="dxa" w:w="486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vAlign w:val="top"/>
          </w:tcPr>
          <w:p>
            <w:r>
              <w:rPr>
                <w:rFonts w:ascii="Arial" w:cs="Arial" w:eastAsia="Arial" w:hAnsi="Arial"/>
                <w:sz w:val="20"/>
                <w:szCs w:val="20"/>
              </w:rPr>
              <w:t xml:space="preserve">Ada beberapa area yang perlu diperbaiki. Yuk, mulai rencanakan!</w:t>
            </w:r>
          </w:p>
        </w:tc>
      </w:tr>
      <w:tr>
        <w:tc>
          <w:tcPr>
            <w:tcW w:type="dxa" w:w="200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sz w:val="20"/>
                <w:szCs w:val="20"/>
              </w:rPr>
              <w:t xml:space="preserve">0 – 39</w:t>
            </w:r>
          </w:p>
        </w:tc>
        <w:tc>
          <w:tcPr>
            <w:tcW w:type="dxa" w:w="250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b/>
                <w:bCs/>
                <w:color w:val="721C24"/>
                <w:sz w:val="20"/>
                <w:szCs w:val="20"/>
              </w:rPr>
              <w:t xml:space="preserve">Perlu Perhatian</w:t>
            </w:r>
          </w:p>
        </w:tc>
        <w:tc>
          <w:tcPr>
            <w:tcW w:type="dxa" w:w="4860"/>
            <w:tcBorders>
              <w:top w:val="single" w:color="E0E0E0" w:sz="1"/>
              <w:left w:val="single" w:color="E0E0E0" w:sz="1"/>
              <w:bottom w:val="single" w:color="E0E0E0" w:sz="1"/>
              <w:right w:val="single" w:color="E0E0E0" w:sz="1"/>
            </w:tcBorders>
            <w:shd w:fill="F8D7DA" w:val="clear"/>
            <w:tcMar>
              <w:top w:type="dxa" w:w="80"/>
              <w:left w:type="dxa" w:w="120"/>
              <w:bottom w:type="dxa" w:w="80"/>
              <w:right w:type="dxa" w:w="120"/>
            </w:tcMar>
            <w:vAlign w:val="top"/>
          </w:tcPr>
          <w:p>
            <w:r>
              <w:rPr>
                <w:rFonts w:ascii="Arial" w:cs="Arial" w:eastAsia="Arial" w:hAnsi="Arial"/>
                <w:sz w:val="20"/>
                <w:szCs w:val="20"/>
              </w:rPr>
              <w:t xml:space="preserve">Keuanganmu butuh perhatian segera. Konsultasi bisa sangat membantu.</w:t>
            </w:r>
          </w:p>
        </w:tc>
      </w:tr>
    </w:tbl>
    <w:p>
      <w:pPr>
        <w:spacing w:after="60"/>
      </w:pPr>
    </w:p>
    <w:p>
      <w:r>
        <w:br w:type="page"/>
      </w:r>
    </w:p>
    <w:p>
      <w:pPr>
        <w:pStyle w:val="Heading1"/>
      </w:pPr>
      <w:r>
        <w:t xml:space="preserve">5. Results Page — Display Specification</w:t>
      </w:r>
    </w:p>
    <w:p>
      <w:pPr>
        <w:spacing w:after="60"/>
      </w:pPr>
    </w:p>
    <w:p>
      <w:pPr>
        <w:spacing w:after="120"/>
      </w:pPr>
      <w:r>
        <w:rPr>
          <w:rFonts w:ascii="Arial" w:cs="Arial" w:eastAsia="Arial" w:hAnsi="Arial"/>
          <w:b/>
          <w:bCs/>
          <w:sz w:val="22"/>
          <w:szCs w:val="22"/>
        </w:rPr>
        <w:t xml:space="preserve">What to show on the results page:</w:t>
      </w:r>
    </w:p>
    <w:p>
      <w:pPr>
        <w:spacing w:after="60"/>
      </w:pPr>
    </w:p>
    <w:p>
      <w:pPr>
        <w:spacing w:after="120"/>
      </w:pPr>
      <w:r>
        <w:rPr>
          <w:rFonts w:ascii="Arial" w:cs="Arial" w:eastAsia="Arial" w:hAnsi="Arial"/>
          <w:sz w:val="22"/>
          <w:szCs w:val="22"/>
        </w:rPr>
        <w:t xml:space="preserve">1. Overall Score — large circular gauge/meter showing 0–100 score with color + label</w:t>
      </w:r>
    </w:p>
    <w:p>
      <w:pPr>
        <w:spacing w:after="120"/>
      </w:pPr>
      <w:r>
        <w:rPr>
          <w:rFonts w:ascii="Arial" w:cs="Arial" w:eastAsia="Arial" w:hAnsi="Arial"/>
          <w:sz w:val="22"/>
          <w:szCs w:val="22"/>
        </w:rPr>
        <w:t xml:space="preserve">2. Score Breakdown — 6 cards or bars, one per ratio, each showing: ratio name, actual value (e.g., "4.2 bulan" or "22%"), status badge (Sehat / Cukup / Kurang Sehat) with traffic light color</w:t>
      </w:r>
    </w:p>
    <w:p>
      <w:pPr>
        <w:spacing w:after="120"/>
      </w:pPr>
      <w:r>
        <w:rPr>
          <w:rFonts w:ascii="Arial" w:cs="Arial" w:eastAsia="Arial" w:hAnsi="Arial"/>
          <w:sz w:val="22"/>
          <w:szCs w:val="22"/>
        </w:rPr>
        <w:t xml:space="preserve">3. Key Recommendations — 2–3 bullet points of actionable advice based on the weakest ratios (see recommendation logic in Section 6)</w:t>
      </w:r>
    </w:p>
    <w:p>
      <w:pPr>
        <w:spacing w:after="120"/>
      </w:pPr>
      <w:r>
        <w:rPr>
          <w:rFonts w:ascii="Arial" w:cs="Arial" w:eastAsia="Arial" w:hAnsi="Arial"/>
          <w:sz w:val="22"/>
          <w:szCs w:val="22"/>
        </w:rPr>
        <w:t xml:space="preserve">4. CTA Section — "Mau tahu lebih detail? Konsultasi gratis dengan Financial Planner kami" + button linking to booking page</w:t>
      </w:r>
    </w:p>
    <w:p>
      <w:pPr>
        <w:spacing w:after="120"/>
      </w:pPr>
      <w:r>
        <w:rPr>
          <w:rFonts w:ascii="Arial" w:cs="Arial" w:eastAsia="Arial" w:hAnsi="Arial"/>
          <w:sz w:val="22"/>
          <w:szCs w:val="22"/>
        </w:rPr>
        <w:t xml:space="preserve">5. Share / Download — option to download results as image or share to WhatsApp</w:t>
      </w:r>
    </w:p>
    <w:p>
      <w:pPr>
        <w:spacing w:after="60"/>
      </w:pPr>
    </w:p>
    <w:p>
      <w:pPr>
        <w:pStyle w:val="Heading1"/>
      </w:pPr>
      <w:r>
        <w:t xml:space="preserve">6. Recommendation Logic</w:t>
      </w:r>
    </w:p>
    <w:p>
      <w:pPr>
        <w:spacing w:after="60"/>
      </w:pPr>
    </w:p>
    <w:p>
      <w:pPr>
        <w:spacing w:after="120"/>
      </w:pPr>
      <w:r>
        <w:rPr>
          <w:rFonts w:ascii="Arial" w:cs="Arial" w:eastAsia="Arial" w:hAnsi="Arial"/>
          <w:sz w:val="22"/>
          <w:szCs w:val="22"/>
        </w:rPr>
        <w:t xml:space="preserve">Display recommendations based on which ratios scored Red or Yellow. Show the top 3 most impactful recommendations.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Ratio is Red/Yellow</w:t>
            </w:r>
          </w:p>
        </w:tc>
        <w:tc>
          <w:tcPr>
            <w:tcW w:type="dxa" w:w="65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Show This Recommendation (in Bahasa Indonesia)</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Emergency Fund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"Dana daruratmu belum mencukupi. Prioritaskan menyisihkan minimal 10% penghasilanmu ke tabungan darurat sebelum berinvestasi."</w:t>
            </w:r>
          </w:p>
        </w:tc>
      </w:tr>
      <w:tr>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Saving Ratio</w:t>
            </w:r>
          </w:p>
        </w:tc>
        <w:tc>
          <w:tcPr>
            <w:tcW w:type="dxa" w:w="6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"Cobalah tingkatkan porsi menabung &amp; investasi. Target idealnya minimal 20% dari penghasilan bulananmu."</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Debt Service Ratio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"Cicilan utangmu cukup besar. Pertimbangkan strategi pelunasan utang agar cash flow lebih sehat."</w:t>
            </w:r>
          </w:p>
        </w:tc>
      </w:tr>
      <w:tr>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Solvency Ratio</w:t>
            </w:r>
          </w:p>
        </w:tc>
        <w:tc>
          <w:tcPr>
            <w:tcW w:type="dxa" w:w="6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"Utangmu masih cukup besar dibanding aset. Fokus untuk mengurangi utang konsumtif."</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Investment Assets Ratio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"Aset investasimu masih minim. Mulai alokasikan dana ke instrumen yang bisa bertumbuh."</w:t>
            </w:r>
          </w:p>
        </w:tc>
      </w:tr>
      <w:tr>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Insurance Coverage</w:t>
            </w:r>
          </w:p>
        </w:tc>
        <w:tc>
          <w:tcPr>
            <w:tcW w:type="dxa" w:w="6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"Proteksimu belum lengkap. Pastikan kamu punya asuransi kesehatan &amp; jiwa yang memadai."</w:t>
            </w:r>
          </w:p>
        </w:tc>
      </w:tr>
    </w:tbl>
    <w:p>
      <w:pPr>
        <w:spacing w:after="60"/>
      </w:pPr>
    </w:p>
    <w:p>
      <w:pPr>
        <w:pStyle w:val="Heading1"/>
      </w:pPr>
      <w:r>
        <w:t xml:space="preserve">7. Edge Cases &amp; Validation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58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Handle</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Income = 0</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Cannot calculate most ratios. Show message: "Masukkan penghasilan untuk melihat hasil analisis."</w:t>
            </w:r>
          </w:p>
        </w:tc>
      </w:tr>
      <w:tr>
        <w:tc>
          <w:tcPr>
            <w:tcW w:type="dxa" w:w="3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Total Assets = 0</w:t>
            </w:r>
          </w:p>
        </w:tc>
        <w:tc>
          <w:tcPr>
            <w:tcW w:type="dxa" w:w="58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Solvency Ratio &amp; Investment Assets Ratio → display "Data tidak cukup" instead of score.</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debt at all (C3 = 0, all F = 0)</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Debt Service Ratio = 0% → automatically Sehat. Solvency Ratio = 100% → Sehat.</w:t>
            </w:r>
          </w:p>
        </w:tc>
      </w:tr>
      <w:tr>
        <w:tc>
          <w:tcPr>
            <w:tcW w:type="dxa" w:w="3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Expenses &gt; Income</w:t>
            </w:r>
          </w:p>
        </w:tc>
        <w:tc>
          <w:tcPr>
            <w:tcW w:type="dxa" w:w="58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Show warning: "Pengeluaranmu melebihi penghasilan. Ini perlu diperhatikan segera."</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Saving amount &gt; Income</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Validation error: "Jumlah tabungan tidak boleh melebihi penghasilan."</w:t>
            </w:r>
          </w:p>
        </w:tc>
      </w:tr>
      <w:tr>
        <w:tc>
          <w:tcPr>
            <w:tcW w:type="dxa" w:w="3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Negative net worth</w:t>
            </w:r>
          </w:p>
        </w:tc>
        <w:tc>
          <w:tcPr>
            <w:tcW w:type="dxa" w:w="58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Solvency Ratio will be negative → Red. Display actual value (e.g., -15%).</w:t>
            </w:r>
          </w:p>
        </w:tc>
      </w:tr>
    </w:tbl>
    <w:p>
      <w:pPr>
        <w:spacing w:after="60"/>
      </w:pPr>
    </w:p>
    <w:p>
      <w:pPr>
        <w:pStyle w:val="Heading1"/>
      </w:pPr>
      <w:r>
        <w:t xml:space="preserve">8. Lead Capture (Optional)</w:t>
      </w:r>
    </w:p>
    <w:p>
      <w:pPr>
        <w:spacing w:after="60"/>
      </w:pPr>
    </w:p>
    <w:p>
      <w:pPr>
        <w:spacing w:after="120"/>
      </w:pPr>
      <w:r>
        <w:rPr>
          <w:rFonts w:ascii="Arial" w:cs="Arial" w:eastAsia="Arial" w:hAnsi="Arial"/>
          <w:sz w:val="22"/>
          <w:szCs w:val="22"/>
        </w:rPr>
        <w:t xml:space="preserve">After showing results, optionally ask for contact details to send the full report or for follow-up consultation. This is NOT required to see results — keep the tool free and instant.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5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220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160"/>
            <w:tcBorders>
              <w:top w:val="single" w:color="E0E0E0" w:sz="1"/>
              <w:left w:val="single" w:color="E0E0E0" w:sz="1"/>
              <w:bottom w:val="single" w:color="E0E0E0" w:sz="1"/>
              <w:right w:val="single" w:color="E0E0E0" w:sz="1"/>
            </w:tcBorders>
            <w:shd w:fill="2D4A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Nama</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Optional</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Personalization</w:t>
            </w:r>
          </w:p>
        </w:tc>
      </w:tr>
      <w:tr>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No. WhatsApp</w:t>
            </w:r>
          </w:p>
        </w:tc>
        <w:tc>
          <w:tcPr>
            <w:tcW w:type="dxa" w:w="2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Phone (WA format)</w:t>
            </w:r>
          </w:p>
        </w:tc>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Optional</w:t>
            </w:r>
          </w:p>
        </w:tc>
        <w:tc>
          <w:tcPr>
            <w:tcW w:type="dxa" w:w="2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Follow-up</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Optional</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Send results PDF</w:t>
            </w:r>
          </w:p>
        </w:tc>
      </w:tr>
    </w:tbl>
    <w:p>
      <w:pPr>
        <w:spacing w:after="60"/>
      </w:pPr>
    </w:p>
    <w:p>
      <w:pPr>
        <w:spacing w:after="60"/>
      </w:pPr>
    </w:p>
    <w:p>
      <w:pPr>
        <w:pBdr>
          <w:top w:val="single" w:color="4A8B7A" w:sz="6" w:space="8"/>
        </w:pBdr>
        <w:spacing w:before="400"/>
      </w:pPr>
      <w:r>
        <w:rPr>
          <w:rFonts w:ascii="Arial" w:cs="Arial" w:eastAsia="Arial" w:hAnsi="Arial"/>
          <w:color w:val="999999"/>
          <w:sz w:val="20"/>
          <w:szCs w:val="20"/>
        </w:rPr>
        <w:t xml:space="preserve">Document prepared by TemanTumbuh — </w:t>
      </w:r>
      <w:r>
        <w:rPr>
          <w:rFonts w:ascii="Arial" w:cs="Arial" w:eastAsia="Arial" w:hAnsi="Arial"/>
          <w:b/>
          <w:bCs/>
          <w:color w:val="4A8B7A"/>
          <w:sz w:val="20"/>
          <w:szCs w:val="20"/>
        </w:rPr>
        <w:t xml:space="preserve">temantumbuh.com</w:t>
      </w:r>
    </w:p>
    <w:p>
      <w:r>
        <w:rPr>
          <w:rFonts w:ascii="Arial" w:cs="Arial" w:eastAsia="Arial" w:hAnsi="Arial"/>
          <w:color w:val="999999"/>
          <w:sz w:val="20"/>
          <w:szCs w:val="20"/>
        </w:rPr>
        <w:t xml:space="preserve">For questions about this spec, contact the TemanTumbuh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TemanTumbuh — Financial Health Check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D4A3E"/>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4A8B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2026-03-30T06:36:59.899Z</dcterms:created>
  <dcterms:modified xsi:type="dcterms:W3CDTF">2026-03-30T06:36:59.900Z</dcterms:modified>
</cp:coreProperties>
</file>

<file path=docProps/custom.xml><?xml version="1.0" encoding="utf-8"?>
<Properties xmlns="http://schemas.openxmlformats.org/officeDocument/2006/custom-properties" xmlns:vt="http://schemas.openxmlformats.org/officeDocument/2006/docPropsVTypes"/>
</file>