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12: MANAJEMEN RISIKO PROYEK (BAGIAN II)</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keepNext/>
        <w:spacing w:before="320" w:after="180" w:line="276" w:lineRule="auto"/>
      </w:pPr>
      <w:r>
        <w:rPr>
          <w:rFonts w:ascii="Times New Roman" w:hAnsi="Times New Roman"/>
          <w:b/>
          <w:color w:val="000000"/>
          <w:sz w:val="28"/>
        </w:rPr>
        <w:t>A. TUGAS TERTULIS INDIVIDU</w:t>
      </w:r>
    </w:p>
    <w:p>
      <w:pPr>
        <w:keepNext/>
        <w:spacing w:before="240" w:after="100" w:line="276" w:lineRule="auto"/>
      </w:pPr>
      <w:r>
        <w:rPr>
          <w:rFonts w:ascii="Times New Roman" w:hAnsi="Times New Roman"/>
          <w:b/>
          <w:color w:val="000000"/>
          <w:sz w:val="24"/>
        </w:rPr>
        <w:t>1. Apa yang dimaksud dengan analisis risiko kuantitatif dan apa tujuan utama dari proses ini?</w:t>
      </w:r>
    </w:p>
    <w:p>
      <w:pPr>
        <w:spacing w:before="0" w:after="120" w:line="360" w:lineRule="auto"/>
        <w:jc w:val="both"/>
      </w:pPr>
      <w:r>
        <w:rPr>
          <w:rFonts w:ascii="Times New Roman" w:hAnsi="Times New Roman"/>
          <w:b w:val="0"/>
          <w:color w:val="000000"/>
          <w:sz w:val="24"/>
        </w:rPr>
        <w:t>Analisis Risiko Kuantitatif (Perform Quantitative Risk Analysis) adalah proses manajemen proyek yang menganalisis secara numerik efek gabungan dari risiko-risiko individu proyek yang telah diprioritaskan beserta sumber ketidakpastian lainnya terhadap sasaran proyek secara keseluruhan (PMBOK® Guide 6th Edition, PMI, 2017, hal. 428–436). Berbeda dengan analisis kualitatif yang menghasilkan skor deskriptif relatif (seperti status Tinggi/Sedang/Rendah), analisis kuantitatif menggunakan pemodelan matematika, teori probabilitas statistik, dan simulasi numerik untuk mengonversi ketidakpastian menjadi estimasi moneter (biaya) atau durasi waktu yang terukur.</w:t>
      </w:r>
    </w:p>
    <w:p>
      <w:pPr>
        <w:spacing w:before="0" w:after="120" w:line="360" w:lineRule="auto"/>
        <w:jc w:val="both"/>
      </w:pPr>
      <w:r>
        <w:rPr>
          <w:rFonts w:ascii="Times New Roman" w:hAnsi="Times New Roman"/>
          <w:b w:val="0"/>
          <w:color w:val="000000"/>
          <w:sz w:val="24"/>
        </w:rPr>
        <w:t>Tujuan utama dari pelaksanaan proses analisis risiko kuantitatif meliputi:</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Mengukur Tingkat Probabilitas Tercapainya Target Proyek: Memberikan estimasi probabilistik objektif mengenai seberapa besar kemungkinan proyek dapat selesai tepat waktu dan sesuai anggaran yang direncanakan (misalnya: probabilitas 78% proyek selesai sebelum 30 Desember).</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Menghitung Besaran Cadangan Kontingensi yang Akurat (Contingency Reserves): Menentukan besaran cadangan biaya dan waktu penyangga (contingency buffer) yang rasional berbasis data probabilistik kuantitatif guna menyerap dampak risiko teridentifikasi, bukan sekadar menebak angka persentase.</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Mengidentifikasi Risiko yang Paling Berpengaruh terhadap Keseluruhan Proyek (Critical Drivers): Menentukan risiko individu mana yang memberikan kontribusi variabilitas terbesar terhadap deviasi biaya dan jadwal proyek secara global (biasanya divisualisasikan melalui Diagram Tornado).</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Mendukung Pengambilan Keputusan Strategis Berbasis Risiko: Membantu eksekutif, sponsor, dan manajer proyek memilih strategi arsitektur sistem atau pemilihan alternatif vendor terbaik berdasarkan analisis nilai ekspektasi moneter (EMV).</w:t>
      </w:r>
    </w:p>
    <w:p>
      <w:pPr>
        <w:keepNext/>
        <w:spacing w:before="240" w:after="100" w:line="276" w:lineRule="auto"/>
      </w:pPr>
      <w:r>
        <w:rPr>
          <w:rFonts w:ascii="Times New Roman" w:hAnsi="Times New Roman"/>
          <w:b/>
          <w:color w:val="000000"/>
          <w:sz w:val="24"/>
        </w:rPr>
        <w:t>2. Sebutkan dan jelaskan tiga teknik analisis risiko kuantitatif yang umum digunakan (EMV, Decision Tree, Monte Carlo Simulation)!</w:t>
      </w:r>
    </w:p>
    <w:p>
      <w:pPr>
        <w:spacing w:before="0" w:after="120" w:line="360" w:lineRule="auto"/>
        <w:jc w:val="both"/>
      </w:pPr>
      <w:r>
        <w:rPr>
          <w:rFonts w:ascii="Times New Roman" w:hAnsi="Times New Roman"/>
          <w:b w:val="0"/>
          <w:color w:val="000000"/>
          <w:sz w:val="24"/>
        </w:rPr>
        <w:t>Berdasarkan standar PMBOK® Guide (PMI, 2017), terdapat tiga teknik pemodelan kuantitatif utama yang lazim diterapkan dalam mengevaluasi risiko proyek:</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Teknik Kuantitatif</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Definisi &amp; Konsep Dasar</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Mekanisme Kerja Operasional</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Kelebihan &amp; Kapan Paling Tepat Digunakan</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Expected Monetary Value (EMV)</w:t>
              <w:br/>
              <w:t>(Nilai Moneter yang Diharapkan)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Konsep statistik yang menghitung hasil moneter rata-rata di masa depan ketika masa depan tersebut memuat skenario yang mungkin atau tidak mungkin terjadi.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Mengalikan nilai probabilitas keterjadian setiap peristiwa dengan dampak moneternya (EMV = P × I), lalu menjumlahkan seluruh nilai untuk mendapatkan nilai ekspektasi bersih.</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Sangat sederhana, cepat, dan mudah dipahami manajemen</w:t>
              <w:br/>
              <w:t>• Tepat digunakan untuk menghitung cadangan kontingensi dan mengevaluasi portofolio risiko individu.</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Decision Tree Analysis</w:t>
              <w:br/>
              <w:t>(Analisis Pohon Keputusan)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Alat diagramatis terstruktur yang memodelkan titik keputusan strategis di bawah kondisi ketidakpastian beberapa alternatif tindakan yang bercabang.</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Menggunakan simpul keputusan (kotak), simpul peluang/probabilitas (lingkaran), dan cabang hasil akhir (segitiga). Menghitung EMV setiap cabang dari kanan ke kiri (backward fold-back) untuk memilih opsi optimal.</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Memvisualisasikan trade-off antar-alternatif secara eksplisit</w:t>
              <w:br/>
              <w:t>• Tepat digunakan saat memilih teknologi, keputusan Make-or-Buy, atau pemilihan alternatif vendor.</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Monte Carlo Simulation</w:t>
              <w:br/>
              <w:t>(Simulasi Monte Carlo)</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Teknik pemodelan komputasi yang melakukan iterasi perhitungan ribuan kali secara acak menggunakan distribusi probabilitas (Triangular, Beta, Normal) dari variabel input biaya dan jadwal.</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Komputer menjalankan simulasi proyek berulang kali (misal: 10.000 iterasi) untuk menghasilkan kurva distribusi kumulatif (S-curve) yang menunjukkan probabilitas penyelesaian proyek pada berbagai target biaya/jadwal.</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Memberikan gambaran ketidakpastian paling komprehensif tanpa menyederhanakan korelasi antar-tugas</w:t>
              <w:br/>
              <w:t>• Tepat untuk proyek berskala besar, kompleks, dan berbiaya tinggi.</w:t>
            </w:r>
          </w:p>
        </w:tc>
      </w:tr>
    </w:tbl>
    <w:p>
      <w:pPr>
        <w:spacing w:before="0" w:after="120" w:line="276" w:lineRule="auto"/>
      </w:pPr>
    </w:p>
    <w:p>
      <w:pPr>
        <w:keepNext/>
        <w:spacing w:before="240" w:after="100" w:line="276" w:lineRule="auto"/>
      </w:pPr>
      <w:r>
        <w:rPr>
          <w:rFonts w:ascii="Times New Roman" w:hAnsi="Times New Roman"/>
          <w:b/>
          <w:color w:val="000000"/>
          <w:sz w:val="24"/>
        </w:rPr>
        <w:t>3. Bagaimana cara menghitung Expected Monetary Value (EMV)? Tuliskan rumusnya dan jelaskan dengan contoh sederhana!</w:t>
      </w:r>
    </w:p>
    <w:p>
      <w:pPr>
        <w:spacing w:before="0" w:after="120" w:line="360" w:lineRule="auto"/>
        <w:jc w:val="both"/>
      </w:pPr>
      <w:r>
        <w:rPr>
          <w:rFonts w:ascii="Times New Roman" w:hAnsi="Times New Roman"/>
          <w:b w:val="0"/>
          <w:color w:val="000000"/>
          <w:sz w:val="24"/>
        </w:rPr>
        <w:t>Expected Monetary Value (EMV) dihitung dengan mengalikan probabilitas terjadinya suatu peristiwa risiko (Probability) dengan nilai dampak moneter yang ditimbulkannya jika peristiwa tersebut benar-benar terjadi (Impact in Currency). Formulasi fundamental perhitungan EMV dinyatakan sebagai:</w:t>
      </w:r>
    </w:p>
    <w:p>
      <w:pPr>
        <w:spacing w:before="80" w:after="160" w:line="276" w:lineRule="auto"/>
        <w:jc w:val="center"/>
      </w:pPr>
      <w:r>
        <w:rPr>
          <w:rFonts w:ascii="Times New Roman" w:hAnsi="Times New Roman"/>
          <w:b/>
          <w:sz w:val="26"/>
        </w:rPr>
        <w:t>EMV = Probability (P) × Impact (I)</w:t>
      </w:r>
    </w:p>
    <w:p>
      <w:pPr>
        <w:spacing w:before="0" w:after="120" w:line="360" w:lineRule="auto"/>
        <w:jc w:val="both"/>
      </w:pPr>
      <w:r>
        <w:rPr>
          <w:rFonts w:ascii="Times New Roman" w:hAnsi="Times New Roman"/>
          <w:b w:val="0"/>
          <w:color w:val="000000"/>
          <w:sz w:val="24"/>
        </w:rPr>
        <w:t>Untuk sebuah proyek yang menghadapi sejumlah n peristiwa risiko independen, total EMV proyek dihitung dengan menjumlahkan EMV dari setiap peristiwa risiko: Total EMV = Σ (Pi × Ii).</w:t>
      </w:r>
    </w:p>
    <w:p>
      <w:pPr>
        <w:spacing w:before="0" w:after="120" w:line="360" w:lineRule="auto"/>
        <w:jc w:val="both"/>
      </w:pPr>
      <w:r>
        <w:rPr>
          <w:rFonts w:ascii="Times New Roman" w:hAnsi="Times New Roman"/>
          <w:b w:val="0"/>
          <w:color w:val="000000"/>
          <w:sz w:val="24"/>
        </w:rPr>
        <w:t>Contoh Ilustrasi Sederhana:</w:t>
        <w:br/>
        <w:t>Sebuah proyek implementasi modul perangkat lunak menghadapi risiko ancaman kerusakan server basis data dengan probabilitas terjadi P = 20% (0.20). Jika server tersebut rusak, biaya perbaikan dan pemulihan data yang harus ditanggung proyek adalah sebesar Rp 50.000.000 (bernilai negatif karena merupakan pengeluaran kerugian/ancaman, I = -Rp 50.000.000).</w:t>
        <w:br/>
        <w:t>Perhitungan EMV:</w:t>
        <w:br/>
        <w:t>EMV = 0.20 × (-Rp 50.000.000) = -Rp 10.000.000.</w:t>
        <w:br/>
        <w:t>Artinya, secara statistik ekspektasi kerugian terbobot dari risiko kerusakan server tersebut bernilai Rp 10.000.000. Angka ini menjadi dasar bagi Manajer Proyek untuk mencadangkan dana kontingensi sebesar Rp 10.000.000 dalam anggaran proyek.</w:t>
      </w:r>
    </w:p>
    <w:p>
      <w:pPr>
        <w:keepNext/>
        <w:spacing w:before="240" w:after="100" w:line="276" w:lineRule="auto"/>
      </w:pPr>
      <w:r>
        <w:rPr>
          <w:rFonts w:ascii="Times New Roman" w:hAnsi="Times New Roman"/>
          <w:b/>
          <w:color w:val="000000"/>
          <w:sz w:val="24"/>
        </w:rPr>
        <w:t>4. Mengapa EMV untuk peluang dinyatakan sebagai nilai positif dan EMV untuk ancaman dinyatakan sebagai nilai negatif?</w:t>
      </w:r>
    </w:p>
    <w:p>
      <w:pPr>
        <w:spacing w:before="0" w:after="120" w:line="360" w:lineRule="auto"/>
        <w:jc w:val="both"/>
      </w:pPr>
      <w:r>
        <w:rPr>
          <w:rFonts w:ascii="Times New Roman" w:hAnsi="Times New Roman"/>
          <w:b w:val="0"/>
          <w:color w:val="000000"/>
          <w:sz w:val="24"/>
        </w:rPr>
        <w:t>Dalam kaidah akuntansi keuangan dan manajemen risiko proyek (PMI, 2017), penetapan konvensi tanda matematis pada EMV mencerminkan arah aliran kas (cash flow) serta dampak ekonomis terhadap anggaran proyek (baseline budget):</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EMV Peluang Bertanda Positif (+): Risiko positif atau peluang (opportunity) adalah peristiwa yang mendatangkan keuntungan finansial, efisiensi kerja, atau penghematan biaya bagi proyek. Karena peluang menambah nilai moneter atau mengurangi pengeluaran kas yang semestinya dikeluarkan, dampaknya diperlakukan sebagai arus kas masuk (cash inflow) atau penghematan yang menguntungkan margin proyek, sehingga dikalikan dengan tanda positif (+).</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EMV Ancaman Bertanda Negatif (-): Risiko negatif atau ancaman (threat) adalah peristiwa yang menimbulkan kerugian, denda keterlambatan, biaya perbaikan cacat, atau lonjakan pengeluaran sumber daya. Karena ancaman menggerus margin anggaran proyek dan bertindak sebagai arus kas keluar tambahan (cash outflow), dampaknya diperlakukan sebagai biaya kerugian yang merugikan baseline, sehingga diberi tanda negatif (-).</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Memungkinkan Penjumlahan Aljabar Portofolio Risiko Bersih (Net Project Exposure): Dengan membedakan tanda positif dan negatif, Manajer Proyek dapat melakukan penjumlahan aljabar langsung terhadap seluruh risiko dalam Risk Register. Total Net EMV = Σ EMV Peluang (+) + Σ EMV Ancaman (-). Hal ini menunjukkan nilai bersih eksposur moneter proyek: peluang dapat secara realistis mengompensasi (meng-offset) sebagian kebutuhan cadangan dana kontingensi untuk ancaman.</w:t>
      </w:r>
    </w:p>
    <w:p>
      <w:pPr>
        <w:keepNext/>
        <w:spacing w:before="240" w:after="100" w:line="276" w:lineRule="auto"/>
      </w:pPr>
      <w:r>
        <w:rPr>
          <w:rFonts w:ascii="Times New Roman" w:hAnsi="Times New Roman"/>
          <w:b/>
          <w:color w:val="000000"/>
          <w:sz w:val="24"/>
        </w:rPr>
        <w:t>5. Sebutkan dan jelaskan lima strategi respons untuk risiko negatif (ancaman)! Untuk risiko dengan prioritas apa masing-masing strategi paling sesuai digunakan?</w:t>
      </w:r>
    </w:p>
    <w:p>
      <w:pPr>
        <w:spacing w:before="0" w:after="120" w:line="360" w:lineRule="auto"/>
        <w:jc w:val="both"/>
      </w:pPr>
      <w:r>
        <w:rPr>
          <w:rFonts w:ascii="Times New Roman" w:hAnsi="Times New Roman"/>
          <w:b w:val="0"/>
          <w:color w:val="000000"/>
          <w:sz w:val="24"/>
        </w:rPr>
        <w:t>PMBOK® Guide 6th Edition (PMI, 2017, hal. 441–444) menetapkan lima strategi formal untuk menangani risiko negatif (ancaman), di mana setiap strategi disesuaikan secara proporsional dengan tingkat keparahan risiko:</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Strategi Respons Ancaman</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Mekanisme Tindakan &amp; Karakteristik</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Prioritas Risiko yang Paling Sesuai</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Contoh Penerapan Nyata Proyek</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Avoid</w:t>
              <w:br/>
              <w:t>(Menghindari)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Mengubah rencana manajemen proyek untuk mengeliminasi ancaman sepenuhnya, mengisolasi sasaran proyek dari dampak risiko, atau membatalkan aktivitas berbahaya.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Prioritas Tinggi / Kritis (Dampak fatal dan probabilitas tinggi yang dapat menggagalkan proyek).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Membatalkan penggunaan pustaka machine learning eksperimental yang tidak stabil dan beralih ke framework stabil Scikit-Learn/XGBoost standar industri.</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Mitigate</w:t>
              <w:br/>
              <w:t>(Memitigasi / Mengurangi)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Mengambil tindakan preventif proaktif untuk mereduksi probabilitas keterjadian risiko dan/atau mengurangi besarnya dampak hingga berada dalam batas toleransi yang dapat diterima.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Prioritas Tinggi hingga Sedang (Ancaman serius yang tidak dapat dihindari sepenuhnya namun dampaknya dapat ditekan).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Menerapkan kuantisasi model int8 dan arsitektur caching untuk mereduksi latensi inferensi API prediksi keterlambatan PRE-02 agar tidak melampaui SLA.</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Transfer</w:t>
              <w:br/>
              <w:t>(Mengalihkan / Mentransfer)</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Mengalihkan kepemilikan dan dampak finansial risiko kepada pihak ketiga, biasanya disertai pembayaran premi risiko.</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Prioritas Tinggi hingga Sedang dengan Dampak Finansial Besar (Risiko spesialisasi yang lebih mampu ditangani pihak eksternal).</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Menyewa infrastruktur cloud komputasi bergaransi SLA 99.9% (seperti AWS/GCP) atau membeli polis asuransi peralatan server.</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 Escalate</w:t>
              <w:br/>
              <w:t>(Mengeskalasi)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Menaikkan penanganan risiko ke tingkat manajemen program, portofolio, atau pimpinan organisasi karena ancaman berada di luar wewenang atau ruang lingkup Manajer Proyek.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Prioritas Lintas Batas Organisasi (Risiko strategis, legalitas korporat, atau kebijakan institusi).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Mengeskalasikan pemotongan anggaran lisensi komputasi laboratorium kampus kepada Ketua Program Studi atau Dekan Fakultas.</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 Accept</w:t>
              <w:br/>
              <w:t>(Menerima)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Mengakui keberadaan ancaman tanpa mengambil tindakan proaktif awal. Dapat berupa penerimaan pasif (hanya mencatat di watch list) atau penerimaan aktif (menyusun rencana kontingensi jika risiko terjadi).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Prioritas Rendah (Risiko dengan dampak/probabilitas kecil atau jika biaya mitigasi jauh lebih mahal daripada dampak risiko itu sendiri).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Menerima risiko pemadaman listrik singkat di laboratorium kampus dengan menyiapkan backup baterai UPS (penerimaan aktif).</w:t>
            </w:r>
          </w:p>
        </w:tc>
      </w:tr>
    </w:tbl>
    <w:p>
      <w:pPr>
        <w:spacing w:before="0" w:after="120" w:line="276" w:lineRule="auto"/>
      </w:pPr>
    </w:p>
    <w:p>
      <w:pPr>
        <w:keepNext/>
        <w:spacing w:before="240" w:after="100" w:line="276" w:lineRule="auto"/>
      </w:pPr>
      <w:r>
        <w:rPr>
          <w:rFonts w:ascii="Times New Roman" w:hAnsi="Times New Roman"/>
          <w:b/>
          <w:color w:val="000000"/>
          <w:sz w:val="24"/>
        </w:rPr>
        <w:t>6. Sebutkan dan jelaskan empat strategi respons untuk risiko positif (peluang)!</w:t>
      </w:r>
    </w:p>
    <w:p>
      <w:pPr>
        <w:spacing w:before="0" w:after="120" w:line="360" w:lineRule="auto"/>
        <w:jc w:val="both"/>
      </w:pPr>
      <w:r>
        <w:rPr>
          <w:rFonts w:ascii="Times New Roman" w:hAnsi="Times New Roman"/>
          <w:b w:val="0"/>
          <w:color w:val="000000"/>
          <w:sz w:val="24"/>
        </w:rPr>
        <w:t>Untuk memaksimalkan manfaat dari peristiwa menguntungkan yang tidak pasti, PMI (2017, hal. 444–446) merumuskan empat strategi respons untuk risiko positif (peluang):</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Strategi Respons Peluang</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Definisi &amp; Mekanisme Kerja</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Tujuan Utama</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Contoh Penerapan Nyata Proyek PRE-02</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Exploit</w:t>
              <w:br/>
              <w:t>(Mengeksploitasi)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Mengambil tindakan proaktif untuk memastikan bahwa ketidakpastian dihilangkan dan peluang 100% pasti terwujud.</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Membuat probabilitas keterjadian menjadi 1.0 (pasti terjadi).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Menugaskan Lead Data Scientist terbaik secara penuh untuk langsung mengintegrasikan pustaka ONNX Runtime begitu rilis resmi keluar, memastikan model terakselerasi maksimal.</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Enhance</w:t>
              <w:br/>
              <w:t>(Meningkatkan)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Mengambil langkah untuk meningkatkan probabilitas keterjadian dan/atau memperbesar dampak positif dari peluang yang ada.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Mendorong faktor pemicu peluang agar potensi manfaat melonjak.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Menambah alokasi waktu ekstraksi fitur otomatis pada dataset agar daya diskriminasi model (skor AUC-ROC) meningkat dari 0.82 menjadi 0.88.</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Share</w:t>
              <w:br/>
              <w:t>(Berbagi)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Mengalihkan kepemilikan peluang sebagian atau seluruhnya kepada pihak ketiga (mitra/vendor) yang memiliki keahlian lebih baik dalam menangkap peluang.</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Menciptakan sinergi win-win solution yang memaksimalkan pembagian keuntungan.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Bekerja sama dengan tim pengembang UI/UX eksternal untuk bersama-sama memanfaatkan peluang pameran kompetisi inovasi aplikasi manajemen proyek.</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 Accept</w:t>
              <w:br/>
              <w:t>(Menerima)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Mengakui adanya peluang yang menguntungkan namun tidak mengambil tindakan aktif terencana untuk mengejarnya; bersedia memanfaatkannya jika terjadi secara alami.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Menghemat sumber daya tanpa melakukan investasi biaya ekstra.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Mengetahui adanya peluang beasiswa riset tambahan dari kementerian, namun tim memilih fokus menuntaskan baseline tanpa mengerahkan waktu untuk membuat proposal tambahan.</w:t>
            </w:r>
          </w:p>
        </w:tc>
      </w:tr>
    </w:tbl>
    <w:p>
      <w:pPr>
        <w:spacing w:before="0" w:after="120" w:line="276" w:lineRule="auto"/>
      </w:pPr>
    </w:p>
    <w:p>
      <w:pPr>
        <w:keepNext/>
        <w:spacing w:before="240" w:after="100" w:line="276" w:lineRule="auto"/>
      </w:pPr>
      <w:r>
        <w:rPr>
          <w:rFonts w:ascii="Times New Roman" w:hAnsi="Times New Roman"/>
          <w:b/>
          <w:color w:val="000000"/>
          <w:sz w:val="24"/>
        </w:rPr>
        <w:t>7. Apa perbedaan antara strategi Avoid dan Mitigate dalam merespons ancaman?</w:t>
      </w:r>
    </w:p>
    <w:p>
      <w:pPr>
        <w:spacing w:before="0" w:after="120" w:line="360" w:lineRule="auto"/>
        <w:jc w:val="both"/>
      </w:pPr>
      <w:r>
        <w:rPr>
          <w:rFonts w:ascii="Times New Roman" w:hAnsi="Times New Roman"/>
          <w:b w:val="0"/>
          <w:color w:val="000000"/>
          <w:sz w:val="24"/>
        </w:rPr>
        <w:t>Meskipun kedua strategi ini sama-sama ditujukan untuk menangani ancaman serius pada proyek, terdapat perbedaan mendasar dalam filosofi pendekatan, mekanisme eksekusi, dan kondisi akhir risiko:</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Dimensi Perbedaan</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Strategi Avoid (Menghindari)</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Strategi Mitigate (Memitigasi / Mengurangi)</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Tujuan terhadap Probabilitas &amp; Dampak</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Mengeliminasi ancaman secara total: Membuat probabilitas terjadinya menjadi 0% (P = 0) atau mengisolasi proyek sehingga dampak menjadi nol.</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Mereduksi probabilitas dan/atau dampak ke tingkat yang dapat ditoleransi (skor risiko turun ke zona aman yang dapat diterima organisasi).</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Perubahan Rencana Proyek (Project Plan)</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Sering kali memerlukan perubahan mendasar pada rencana manajemen proyek: mengubah ruang lingkup, membatalkan fitur, atau mengganti metodologi secara radikal.</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Rencana proyek dan sasaran utama tetap dipertahankan, namun ditambahkan aktivitas pencegahan atau proteksi ekstra ke dalam jadwal kerja.</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Status Risiko Residu (Residual Risk)</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Tidak menyisakan risiko residu terkait peristiwa tersebut karena sumber ancaman telah dihilangkan sepenuhnya.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Masih menyisakan risiko residu (residual risk) dalam kadar rendah yang harus terus dipantau dalam Watch List.</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Kapan Strategi Dipilih</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Ketika dampak risiko berpotensi menimbulkan kegagalan fatal proyek dan organisasi tidak memiliki toleransi untuk menanggungnya.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Ketika risiko tidak mungkin dihilangkan sepenuhnya karena merupakan bagian inheren dari aktivitas teknis yang tidak dapat dihindari.</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Contoh Kasus PRE-02</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Avoid: Menghapus modul integrasi telemetri hardware IoT yang sangat rentan kerusakan fisik dari ruang lingkup proyek PRE-02.</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Mitigate: Melakukan teknik kuantisasi bobot model dan pruning jaringan untuk mempercepat waktu komputasi inferensi API hingga di bawah 100 ms.</w:t>
            </w:r>
          </w:p>
        </w:tc>
      </w:tr>
    </w:tbl>
    <w:p>
      <w:pPr>
        <w:spacing w:before="0" w:after="120" w:line="276" w:lineRule="auto"/>
      </w:pPr>
    </w:p>
    <w:p>
      <w:pPr>
        <w:keepNext/>
        <w:spacing w:before="240" w:after="100" w:line="276" w:lineRule="auto"/>
      </w:pPr>
      <w:r>
        <w:rPr>
          <w:rFonts w:ascii="Times New Roman" w:hAnsi="Times New Roman"/>
          <w:b/>
          <w:color w:val="000000"/>
          <w:sz w:val="24"/>
        </w:rPr>
        <w:t>8. Apa yang dimaksud dengan Contingent Response Strategy dan kapan strategi ini digunakan?</w:t>
      </w:r>
    </w:p>
    <w:p>
      <w:pPr>
        <w:spacing w:before="0" w:after="120" w:line="360" w:lineRule="auto"/>
        <w:jc w:val="both"/>
      </w:pPr>
      <w:r>
        <w:rPr>
          <w:rFonts w:ascii="Times New Roman" w:hAnsi="Times New Roman"/>
          <w:b w:val="0"/>
          <w:color w:val="000000"/>
          <w:sz w:val="24"/>
        </w:rPr>
        <w:t>Contingent Response Strategy (Strategi Respons Kontinjensi / Fallback Plan) adalah rencana respons risiko yang telah dirancang sebelumnya, namun hanya akan dieksekusi jika kondisi atau peristiwa pemicu tertentu yang telah didefinisikan (predefined risk triggers) benar-benar terjadi (PMBOK® Guide 6th Edition, PMI, 2017, hal. 445). Strategi ini juga sering disebut sebagai rencana cadangan (Plan B).</w:t>
      </w:r>
    </w:p>
    <w:p>
      <w:pPr>
        <w:spacing w:before="0" w:after="120" w:line="360" w:lineRule="auto"/>
        <w:jc w:val="both"/>
      </w:pPr>
      <w:r>
        <w:rPr>
          <w:rFonts w:ascii="Times New Roman" w:hAnsi="Times New Roman"/>
          <w:b w:val="0"/>
          <w:color w:val="000000"/>
          <w:sz w:val="24"/>
        </w:rPr>
        <w:t>Karakteristik Operasional dan Waktu Penerapan Strategi Respons Kontinjensi:</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Didorong oleh Indikator Pemicu Terukur (Trigger-Driven): Strategi ini mensyaratkan adanya indikator peringatan dini yang jelas. Misalnya dalam proyek PRE-02: "Jika deviasi jadwal pada sprint 4 melampaui 7 hari kalender, maka alokasikan komputasi server paralel cadangan". Ketika pemicu tercapai, respons langsung diaktifkan secara otomatis tanpa perdebatan panjang.</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Didukung oleh Cadangan Kontingensi (Contingency Reserves): Rencana kontinjensi membutuhkan alokasi sumber daya biaya dan waktu penyangga (buffer) yang telah dicadangkan dalam baseline anggaran dan jadwal proyek.</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Kapan Paling Tepat Digunakan: Strategi ini digunakan ketika tim memilih pendekatan penerimaan aktif (active acceptance) terhadap risiko dengan dampak moderat hingga tinggi, di mana tindakan pencegahan di awal dinilai tidak efisien secara biaya, namun tim tidak boleh membiarkan proyek tanpa rencana aksi saat risiko benar-benar terjadi.</w:t>
      </w:r>
    </w:p>
    <w:p>
      <w:pPr>
        <w:keepNext/>
        <w:spacing w:before="240" w:after="100" w:line="276" w:lineRule="auto"/>
      </w:pPr>
      <w:r>
        <w:rPr>
          <w:rFonts w:ascii="Times New Roman" w:hAnsi="Times New Roman"/>
          <w:b/>
          <w:color w:val="000000"/>
          <w:sz w:val="24"/>
        </w:rPr>
        <w:t>9. Apa perbedaan antara analisis risiko kualitatif dan analisis risiko kuantitatif? Kapan masing-masing digunakan?</w:t>
      </w:r>
    </w:p>
    <w:p>
      <w:pPr>
        <w:spacing w:before="0" w:after="120" w:line="360" w:lineRule="auto"/>
        <w:jc w:val="both"/>
      </w:pPr>
      <w:r>
        <w:rPr>
          <w:rFonts w:ascii="Times New Roman" w:hAnsi="Times New Roman"/>
          <w:b w:val="0"/>
          <w:color w:val="000000"/>
          <w:sz w:val="24"/>
        </w:rPr>
        <w:t>Dalam kerangka manajemen risiko proyek, analisis kualitatif dan analisis kuantitatif merupakan dua tahapan evaluasi yang saling melengkapi namun memiliki perbedaan metodologis yang sangat kontras: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Karakteristik Pembanding</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Analisis Risiko Kualitatif (Perform Qualitative)</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Analisis Risiko Kuantitatif (Perform Quantitative)</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Sifat Pendekatan &amp; Metodologi</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Subjektif / Deskriptif: Mengandalkan persepsi ahli, penilaian tim, dan skala ordinal (Tinggi, Sedang, Rendah; skala 1–5).</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Objektif / Numerik: Mengandalkan matematika probabilitas, simulasi komputasi statistik, dan nilai moneter terkuantisasi (Rp / Jam).</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Output Utama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Peringkat prioritas relatif risiko, pemetaan sel kisi-kisi matriks P&amp;I, dan daftar pantau (Watch List).</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Estimasi probabilitas keberhasilan proyek, distribusi biaya/jadwal probabilistik, nilai EMV, dan besaran cadangan kontingensi eksak.</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Kebutuhan Waktu &amp; Sumber Daya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Cepat, hemat biaya, dan tidak membutuhkan perangkat lunak pemodelan statistik yang rumit.</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Memerlukan waktu lebih lama, data historis yang andal, keahlian statistik khusus, dan tool simulasi (misal: @RISK, Crystal Ball).</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Kapan Digunakan</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Wajib dilakukan pada seluruh risiko di setiap proyek, dilaksanakan segera setelah fase identifikasi risiko dan diperbarui berkala.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Dilakukan secara selektif pada risiko-risiko prioritas tinggi yang lolos dari analisis kualitatif, serta pada proyek-proyek bernilai tinggi/kritis.</w:t>
            </w:r>
          </w:p>
        </w:tc>
      </w:tr>
    </w:tbl>
    <w:p>
      <w:pPr>
        <w:spacing w:before="0" w:after="120" w:line="276" w:lineRule="auto"/>
      </w:pPr>
    </w:p>
    <w:p>
      <w:pPr>
        <w:keepNext/>
        <w:spacing w:before="320" w:after="180" w:line="276" w:lineRule="auto"/>
      </w:pPr>
      <w:r>
        <w:rPr>
          <w:rFonts w:ascii="Times New Roman" w:hAnsi="Times New Roman"/>
          <w:b/>
          <w:color w:val="000000"/>
          <w:sz w:val="28"/>
        </w:rPr>
        <w:t>B. TUGAS LATIHAN INDIVIDU: ANALISIS EXPECTED MONETARY VALUE (EMV) DAN DECISION TREE</w:t>
      </w:r>
    </w:p>
    <w:p>
      <w:pPr>
        <w:keepNext/>
        <w:spacing w:before="240" w:after="100" w:line="276" w:lineRule="auto"/>
      </w:pPr>
      <w:r>
        <w:rPr>
          <w:rFonts w:ascii="Times New Roman" w:hAnsi="Times New Roman"/>
          <w:b/>
          <w:color w:val="000000"/>
          <w:sz w:val="24"/>
        </w:rPr>
        <w:t>1. Latihan Perhitungan Expected Monetary Value (EMV) Tiga Risiko Proyek</w:t>
      </w:r>
    </w:p>
    <w:p>
      <w:pPr>
        <w:spacing w:before="0" w:after="120" w:line="360" w:lineRule="auto"/>
        <w:jc w:val="both"/>
      </w:pPr>
      <w:r>
        <w:rPr>
          <w:rFonts w:ascii="Times New Roman" w:hAnsi="Times New Roman"/>
          <w:b w:val="0"/>
          <w:color w:val="000000"/>
          <w:sz w:val="24"/>
        </w:rPr>
        <w:t>Diketahui sebuah proyek pengembangan teknologi informasi memiliki tiga peristiwa risiko yang telah diidentifikasi dan dinilai secara kuantitatif dengan rincian data sebagai berikut (sesuai data silabus acuan):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Identifikasi Risiko</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Probabilitas Keterjadian (P)</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Dampak Moneter Potensial (I)</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Risiko 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30% (0,30)</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100.000.000</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Risiko B</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50% (0,50)</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50.000.000</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Risiko C</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20% (0,20)</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200.000.000</w:t>
            </w:r>
          </w:p>
        </w:tc>
      </w:tr>
    </w:tbl>
    <w:p>
      <w:pPr>
        <w:spacing w:before="0" w:after="120" w:line="276" w:lineRule="auto"/>
      </w:pPr>
    </w:p>
    <w:p>
      <w:pPr>
        <w:keepNext/>
        <w:spacing w:before="160" w:after="80" w:line="276" w:lineRule="auto"/>
      </w:pPr>
      <w:r>
        <w:rPr>
          <w:rFonts w:ascii="Times New Roman" w:hAnsi="Times New Roman"/>
          <w:b/>
          <w:i/>
          <w:color w:val="000000"/>
          <w:sz w:val="24"/>
        </w:rPr>
        <w:t>a. Perhitungan Nilai EMV untuk Masing-Masing Risiko (Skenario Seluruhnya Ancaman)</w:t>
      </w:r>
    </w:p>
    <w:p>
      <w:pPr>
        <w:spacing w:before="0" w:after="120" w:line="360" w:lineRule="auto"/>
        <w:jc w:val="both"/>
      </w:pPr>
      <w:r>
        <w:rPr>
          <w:rFonts w:ascii="Times New Roman" w:hAnsi="Times New Roman"/>
          <w:b w:val="0"/>
          <w:color w:val="000000"/>
          <w:sz w:val="24"/>
        </w:rPr>
        <w:t>Dalam skenario dasar di mana ketiga peristiwa risiko di atas diklasifikasikan sebagai risiko negatif (ancaman/threats), dampak moneter bernilai negatif (-) karena memicu pengeluaran atau kerugian biaya proyek. Formulasi EMV = P × (-I):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EMV Risiko A:</w:t>
      </w:r>
      <w:r>
        <w:rPr>
          <w:rFonts w:ascii="Times New Roman" w:hAnsi="Times New Roman"/>
          <w:b w:val="0"/>
          <w:sz w:val="24"/>
        </w:rPr>
        <w:t xml:space="preserve"> P(A) × Impact(A) = 0,30 × (-Rp 100.000.000) = -Rp 30.000.000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EMV Risiko B:</w:t>
      </w:r>
      <w:r>
        <w:rPr>
          <w:rFonts w:ascii="Times New Roman" w:hAnsi="Times New Roman"/>
          <w:b w:val="0"/>
          <w:sz w:val="24"/>
        </w:rPr>
        <w:t xml:space="preserve"> P(B) × Impact(B) = 0,50 × (-Rp 50.000.000) = -Rp 25.000.000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EMV Risiko C:</w:t>
      </w:r>
      <w:r>
        <w:rPr>
          <w:rFonts w:ascii="Times New Roman" w:hAnsi="Times New Roman"/>
          <w:b w:val="0"/>
          <w:sz w:val="24"/>
        </w:rPr>
        <w:t xml:space="preserve"> P(C) × Impact(C) = 0,20 × (-Rp 200.000.000) = -Rp 40.000.000</w:t>
      </w:r>
    </w:p>
    <w:p>
      <w:pPr>
        <w:keepNext/>
        <w:spacing w:before="160" w:after="80" w:line="276" w:lineRule="auto"/>
      </w:pPr>
      <w:r>
        <w:rPr>
          <w:rFonts w:ascii="Times New Roman" w:hAnsi="Times New Roman"/>
          <w:b/>
          <w:i/>
          <w:color w:val="000000"/>
          <w:sz w:val="24"/>
        </w:rPr>
        <w:t>b. Perhitungan Total Nilai EMV Proyek</w:t>
      </w:r>
    </w:p>
    <w:p>
      <w:pPr>
        <w:spacing w:before="0" w:after="120" w:line="360" w:lineRule="auto"/>
        <w:jc w:val="both"/>
      </w:pPr>
      <w:r>
        <w:rPr>
          <w:rFonts w:ascii="Times New Roman" w:hAnsi="Times New Roman"/>
          <w:b w:val="0"/>
          <w:color w:val="000000"/>
          <w:sz w:val="24"/>
        </w:rPr>
        <w:t>Total EMV dihitung dengan menjumlahkan aljabar nilai EMV dari seluruh risiko individu:</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Total EMV = EMV(A) + EMV(B) + EMV(C)</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Total EMV = (-Rp 30.000.000) + (-Rp 25.000.000) + (-Rp 40.000.000)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Total EMV = -Rp 95.000.000 (Kerugian Moneter yang Diharapkan)</w:t>
      </w:r>
    </w:p>
    <w:p>
      <w:pPr>
        <w:keepNext/>
        <w:spacing w:before="160" w:after="80" w:line="276" w:lineRule="auto"/>
      </w:pPr>
      <w:r>
        <w:rPr>
          <w:rFonts w:ascii="Times New Roman" w:hAnsi="Times New Roman"/>
          <w:b/>
          <w:i/>
          <w:color w:val="000000"/>
          <w:sz w:val="24"/>
        </w:rPr>
        <w:t>c. Interpretasi Manajerial dari Total EMV (-Rp 95.000.000)</w:t>
      </w:r>
    </w:p>
    <w:p>
      <w:pPr>
        <w:spacing w:before="0" w:after="120" w:line="360" w:lineRule="auto"/>
        <w:jc w:val="both"/>
      </w:pPr>
      <w:r>
        <w:rPr>
          <w:rFonts w:ascii="Times New Roman" w:hAnsi="Times New Roman"/>
          <w:b w:val="0"/>
          <w:color w:val="000000"/>
          <w:sz w:val="24"/>
        </w:rPr>
        <w:t>Secara statistik, nilai Total EMV sebesar -Rp 95.000.000 merepresentasikan nilai rata-rata kerugian moneter terbobot probabilitas yang dihadapi oleh portofolio proyek akibat paparan ketiga ancaman tersebut. Nilai ini tidak berarti bahwa proyek pasti merugi Rp 95.000.000 pada realitasnya, melainkan berfungsi sebagai estimasi matematis objektif untuk menetapkan besaran Cadangan Kontingensi Biaya (Cost Contingency Reserve). Manajer Proyek wajib mencadangkan anggaran penyangga sebesar Rp 95.000.000 di dalam baseline anggaran proyek guna menyerap dampak finansial yang mungkin terjadi sepanjang siklus hidup proyek.</w:t>
      </w:r>
    </w:p>
    <w:p>
      <w:pPr>
        <w:keepNext/>
        <w:spacing w:before="160" w:after="80" w:line="276" w:lineRule="auto"/>
      </w:pPr>
      <w:r>
        <w:rPr>
          <w:rFonts w:ascii="Times New Roman" w:hAnsi="Times New Roman"/>
          <w:b/>
          <w:i/>
          <w:color w:val="000000"/>
          <w:sz w:val="24"/>
        </w:rPr>
        <w:t>d. Analisis Skenario Diferensiasi: Risiko A adalah Peluang (+), Risiko B &amp; C adalah Ancaman (-)</w:t>
      </w:r>
    </w:p>
    <w:p>
      <w:pPr>
        <w:spacing w:before="0" w:after="120" w:line="360" w:lineRule="auto"/>
        <w:jc w:val="both"/>
      </w:pPr>
      <w:r>
        <w:rPr>
          <w:rFonts w:ascii="Times New Roman" w:hAnsi="Times New Roman"/>
          <w:b w:val="0"/>
          <w:color w:val="000000"/>
          <w:sz w:val="24"/>
        </w:rPr>
        <w:t>Jika Risiko A diklasifikasikan sebagai risiko positif atau peluang (opportunity)—misalnya penghematan biaya lisensi perangkat lunak karena diskon institusi—sedangkan Risiko B dan Risiko C tetap sebagai ancaman, maka perhitungan aljabar EMV berubah menjadi: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EMV Risiko A (Peluang / Positif):</w:t>
      </w:r>
      <w:r>
        <w:rPr>
          <w:rFonts w:ascii="Times New Roman" w:hAnsi="Times New Roman"/>
          <w:b w:val="0"/>
          <w:sz w:val="24"/>
        </w:rPr>
        <w:t xml:space="preserve"> P(A) × (+Impact A) = 0,30 × (+Rp 100.000.000) = +Rp 30.000.000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EMV Risiko B (Ancaman / Negatif):</w:t>
      </w:r>
      <w:r>
        <w:rPr>
          <w:rFonts w:ascii="Times New Roman" w:hAnsi="Times New Roman"/>
          <w:b w:val="0"/>
          <w:sz w:val="24"/>
        </w:rPr>
        <w:t xml:space="preserve"> P(B) × (-Impact B) = 0,50 × (-Rp 50.000.000) = -Rp 25.000.000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EMV Risiko C (Ancaman / Negatif):</w:t>
      </w:r>
      <w:r>
        <w:rPr>
          <w:rFonts w:ascii="Times New Roman" w:hAnsi="Times New Roman"/>
          <w:b w:val="0"/>
          <w:sz w:val="24"/>
        </w:rPr>
        <w:t xml:space="preserve"> P(C) × (-Impact C) = 0,20 × (-Rp 200.000.000) = -Rp 40.000.000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Total Net EMV Proyek Baru:</w:t>
      </w:r>
      <w:r>
        <w:rPr>
          <w:rFonts w:ascii="Times New Roman" w:hAnsi="Times New Roman"/>
          <w:b w:val="0"/>
          <w:sz w:val="24"/>
        </w:rPr>
        <w:t xml:space="preserve"> (+Rp 30.000.000) + (-Rp 25.000.000) + (-Rp 40.000.000) = -Rp 35.000.000</w:t>
      </w:r>
    </w:p>
    <w:p>
      <w:pPr>
        <w:spacing w:before="0" w:after="120" w:line="360" w:lineRule="auto"/>
        <w:jc w:val="both"/>
      </w:pPr>
      <w:r>
        <w:rPr>
          <w:rFonts w:ascii="Times New Roman" w:hAnsi="Times New Roman"/>
          <w:b w:val="0"/>
          <w:color w:val="000000"/>
          <w:sz w:val="24"/>
        </w:rPr>
        <w:t>Interpretasi Perbedaan Skenario:</w:t>
        <w:br/>
        <w:t>Keberadaan peluang A memberikan dampak kompensasi positif (+Rp 30.000.000) yang meng-offset sebagian dari eksposur kerugian ancaman B dan C (-Rp 65.000.000). Akibatnya, eksposur kerugian bersih (net risk exposure) proyek menyusut secara drastis dari -Rp 95.000.000 menjadi -Rp 35.000.000. Implikasi manajerialnya adalah Manajer Proyek hanya perlu menyiapkan cadangan kontingensi biaya bersih sebesar Rp 35.000.000, dengan asumsi tim mengeksekusi strategi respons aktif (misal: Exploit atau Enhance) untuk menjamin peluang A terwujud.</w:t>
      </w:r>
    </w:p>
    <w:p>
      <w:pPr>
        <w:keepNext/>
        <w:spacing w:before="160" w:after="80" w:line="276" w:lineRule="auto"/>
      </w:pPr>
      <w:r>
        <w:rPr>
          <w:rFonts w:ascii="Times New Roman" w:hAnsi="Times New Roman"/>
          <w:b/>
          <w:i/>
          <w:color w:val="000000"/>
          <w:sz w:val="24"/>
        </w:rPr>
        <w:t>e. Penentuan Prioritas Risiko Tertinggi Berdasarkan Analisis Nilai EMV</w:t>
      </w:r>
    </w:p>
    <w:p>
      <w:pPr>
        <w:spacing w:before="0" w:after="120" w:line="360" w:lineRule="auto"/>
        <w:jc w:val="both"/>
      </w:pPr>
      <w:r>
        <w:rPr>
          <w:rFonts w:ascii="Times New Roman" w:hAnsi="Times New Roman"/>
          <w:b w:val="0"/>
          <w:color w:val="000000"/>
          <w:sz w:val="24"/>
        </w:rPr>
        <w:t>Berdasarkan besaran nilai mutlak EMV (|EMV|), urutan peringkat risiko adalah sebagai berikut:</w:t>
        <w:br/>
        <w:t>1. Risiko C: |EMV| = Rp 40.000.000 (Peringkat 1 / Prioritas Tertinggi)</w:t>
        <w:br/>
        <w:t>2. Risiko A: |EMV| = Rp 30.000.000 (Peringkat 2 / Prioritas Sedang)</w:t>
        <w:br/>
        <w:t>3. Risiko B: |EMV| = Rp 25.000.000 (Peringkat 3 / Prioritas Terendah)</w:t>
      </w:r>
    </w:p>
    <w:p>
      <w:pPr>
        <w:spacing w:before="0" w:after="120" w:line="360" w:lineRule="auto"/>
        <w:jc w:val="both"/>
      </w:pPr>
      <w:r>
        <w:rPr>
          <w:rFonts w:ascii="Times New Roman" w:hAnsi="Times New Roman"/>
          <w:b w:val="0"/>
          <w:color w:val="000000"/>
          <w:sz w:val="24"/>
        </w:rPr>
        <w:t>Justifikasi dan Rasionalitas:</w:t>
        <w:br/>
        <w:t>Risiko C merupakan prioritas tertinggi yang wajib mendapatkan alokasi sumber daya mitigasi agresif terlebih dahulu. Meskipun probabilitas terjadinya paling kecil di antara ketiganya (hanya 20%), dampak moneter yang ditimbulkan sangat masif (Rp 200.000.000), sehingga secara statistik menghasilkan bobot kerugian ekspektasi terbesar (-Rp 40.000.000). Sebaliknya, Risiko B yang memiliki probabilitas tertinggi (50%) justru menghasilkan eksposur EMV paling rendah (-Rp 25.000.000) karena dampaknya relatif kecil. Analisis EMV membuktikan bahwa mengelola risiko tidak boleh hanya terpaku pada probabilitas semata, melainkan wajib mempertimbangkan besaran kuantitatif paparan moneternya.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rPr>
          <w:tblHeader w:val="true"/>
          <w:cantSplit w:val="true"/>
        </w:trPr>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Peristiwa Risiko</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Tipe</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Probabilitas (P)</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Dampak (I)</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Nilai EMV (Rp)</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Peringkat Prioritas</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Risiko C</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Ancaman</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200.000.000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40.000.000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Prioritas 1 (Kritis)</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Risiko A</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Ancaman / Peluang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100.000.000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30.000.000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Prioritas 2 (Moderat)</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Risiko B</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Ancaman</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50.000.000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25.000.000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Prioritas 3 (Rendah)</w:t>
            </w:r>
          </w:p>
        </w:tc>
      </w:tr>
    </w:tbl>
    <w:p>
      <w:pPr>
        <w:spacing w:before="0" w:after="120" w:line="276" w:lineRule="auto"/>
      </w:pPr>
    </w:p>
    <w:p>
      <w:pPr>
        <w:keepNext/>
        <w:spacing w:before="240" w:after="100" w:line="276" w:lineRule="auto"/>
      </w:pPr>
      <w:r>
        <w:rPr>
          <w:rFonts w:ascii="Times New Roman" w:hAnsi="Times New Roman"/>
          <w:b/>
          <w:color w:val="000000"/>
          <w:sz w:val="24"/>
        </w:rPr>
        <w:t>2. Tugas Latihan Tambahan: Decision Tree Analysis (Pemilihan Alternatif Vendor)</w:t>
      </w:r>
    </w:p>
    <w:p>
      <w:pPr>
        <w:spacing w:before="0" w:after="120" w:line="360" w:lineRule="auto"/>
        <w:jc w:val="both"/>
      </w:pPr>
      <w:r>
        <w:rPr>
          <w:rFonts w:ascii="Times New Roman" w:hAnsi="Times New Roman"/>
          <w:b w:val="0"/>
          <w:color w:val="000000"/>
          <w:sz w:val="24"/>
        </w:rPr>
        <w:t>Kasus Studi: Seorang Manajer Proyek dihadapkan pada keputusan strategis untuk memilih salah satu dari dua vendor guna mengerjakan aktivitas kritis proyek. Data perbandingan penawaran biaya dan risiko denda keterlambatan disajikan berikut: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Vendor X:</w:t>
      </w:r>
      <w:r>
        <w:rPr>
          <w:rFonts w:ascii="Times New Roman" w:hAnsi="Times New Roman"/>
          <w:b w:val="0"/>
          <w:sz w:val="24"/>
        </w:rPr>
        <w:t xml:space="preserve"> Biaya penawaran dasar = Rp 150.000.000. Probabilitas terlambat = 30% (0,30) dengan denda keterlambatan = Rp 50.000.000. Probabilitas tepat waktu = 70% (0,70) tanpa denda.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Vendor Y:</w:t>
      </w:r>
      <w:r>
        <w:rPr>
          <w:rFonts w:ascii="Times New Roman" w:hAnsi="Times New Roman"/>
          <w:b w:val="0"/>
          <w:sz w:val="24"/>
        </w:rPr>
        <w:t xml:space="preserve"> Biaya penawaran dasar = Rp 180.000.000. Probabilitas terlambat = 10% (0,10) dengan denda keterlambatan = Rp 80.000.000. Probabilitas tepat waktu = 90% (0,90) tanpa denda.</w:t>
      </w:r>
    </w:p>
    <w:p>
      <w:pPr>
        <w:keepNext/>
        <w:spacing w:before="160" w:after="80" w:line="276" w:lineRule="auto"/>
      </w:pPr>
      <w:r>
        <w:rPr>
          <w:rFonts w:ascii="Times New Roman" w:hAnsi="Times New Roman"/>
          <w:b/>
          <w:i/>
          <w:color w:val="000000"/>
          <w:sz w:val="24"/>
        </w:rPr>
        <w:t>a. Struktur Diagram dan Pemodelan Decision Tree</w:t>
      </w:r>
    </w:p>
    <w:p>
      <w:pPr>
        <w:spacing w:before="0" w:after="120" w:line="360" w:lineRule="auto"/>
        <w:jc w:val="both"/>
      </w:pPr>
      <w:r>
        <w:rPr>
          <w:rFonts w:ascii="Times New Roman" w:hAnsi="Times New Roman"/>
          <w:b w:val="0"/>
          <w:color w:val="000000"/>
          <w:sz w:val="24"/>
        </w:rPr>
        <w:t>Model pohon keputusan (Decision Tree) terdiri dari Simpul Keputusan (Decision Node □), Simpul Ketidakpastian/Peluang (Chance Nodes ○), dan Cabang Hasil Akhir (Payoff Branches):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tblGrid>
      <w:tr>
        <w:trPr>
          <w:tblHeader w:val="true"/>
          <w:cantSplit w:val="true"/>
        </w:trPr>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Simpul Keputusan (□)</w:t>
            </w:r>
          </w:p>
        </w:tc>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Alternatif Cabang</w:t>
            </w:r>
          </w:p>
        </w:tc>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Simpul Peluang (○)</w:t>
            </w:r>
          </w:p>
        </w:tc>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Kondisi Kinerja Vendor</w:t>
            </w:r>
          </w:p>
        </w:tc>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Probabilitas</w:t>
            </w:r>
          </w:p>
        </w:tc>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Biaya Dasar + Denda</w:t>
            </w:r>
          </w:p>
        </w:tc>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Total Pengeluaran (Payoff)</w:t>
            </w:r>
          </w:p>
        </w:tc>
      </w:tr>
      <w:tr>
        <w:trPr>
          <w:cantSplit w:val="true"/>
        </w:trPr>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Keputusan Memilih Vendor</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Cabang 1: Vendor X</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Simpul Peluang X</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Tepat Waktu</w:t>
              <w:br/>
              <w:t>Terlambat (Denda Rp 50 Jt)</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0,70</w:t>
              <w:br/>
              <w:t>0,30</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150 Jt + Rp 0</w:t>
              <w:br/>
              <w:t>Rp 150 Jt + Rp 50 Jt</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150.000.000</w:t>
              <w:br/>
              <w:t>Rp 200.000.000</w:t>
            </w:r>
          </w:p>
        </w:tc>
      </w:tr>
      <w:tr>
        <w:trPr>
          <w:cantSplit w:val="true"/>
        </w:trPr>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Keputusan Memilih Vendor</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Cabang 2: Vendor Y</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Simpul Peluang Y</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Tepat Waktu</w:t>
              <w:br/>
              <w:t>Terlambat (Denda Rp 80 Jt)</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0,90</w:t>
              <w:br/>
              <w:t>0,10</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180 Jt + Rp 0</w:t>
              <w:br/>
              <w:t>Rp 180 Jt + Rp 80 Jt</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180.000.000</w:t>
              <w:br/>
              <w:t>Rp 260.000.000</w:t>
            </w:r>
          </w:p>
        </w:tc>
      </w:tr>
    </w:tbl>
    <w:p>
      <w:pPr>
        <w:spacing w:before="0" w:after="120" w:line="276" w:lineRule="auto"/>
      </w:pPr>
    </w:p>
    <w:p>
      <w:pPr>
        <w:keepNext/>
        <w:spacing w:before="160" w:after="80" w:line="276" w:lineRule="auto"/>
      </w:pPr>
      <w:r>
        <w:rPr>
          <w:rFonts w:ascii="Times New Roman" w:hAnsi="Times New Roman"/>
          <w:b/>
          <w:i/>
          <w:color w:val="000000"/>
          <w:sz w:val="24"/>
        </w:rPr>
        <w:t>b. Perhitungan Nilai EMV untuk Masing-Masing Alternatif Vendor</w:t>
      </w:r>
    </w:p>
    <w:p>
      <w:pPr>
        <w:spacing w:before="0" w:after="120" w:line="360" w:lineRule="auto"/>
        <w:jc w:val="both"/>
      </w:pPr>
      <w:r>
        <w:rPr>
          <w:rFonts w:ascii="Times New Roman" w:hAnsi="Times New Roman"/>
          <w:b w:val="0"/>
          <w:color w:val="000000"/>
          <w:sz w:val="24"/>
        </w:rPr>
        <w:t>Perhitungan Expected Monetary Value dilakukan dengan mengalikan probabilitas masing-masing cabang hasil dengan total biaya pengeluaran:</w:t>
      </w:r>
    </w:p>
    <w:p>
      <w:pPr>
        <w:spacing w:before="0" w:after="120" w:line="360" w:lineRule="auto"/>
        <w:jc w:val="both"/>
      </w:pPr>
      <w:r>
        <w:rPr>
          <w:rFonts w:ascii="Times New Roman" w:hAnsi="Times New Roman"/>
          <w:b w:val="0"/>
          <w:color w:val="000000"/>
          <w:sz w:val="24"/>
        </w:rPr>
        <w:t>1. Perhitungan EMV Pengeluaran Total untuk Vendor X:</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Kondisi Tepat Waktu (Probabilitas 0,70):</w:t>
      </w:r>
      <w:r>
        <w:rPr>
          <w:rFonts w:ascii="Times New Roman" w:hAnsi="Times New Roman"/>
          <w:b w:val="0"/>
          <w:sz w:val="24"/>
        </w:rPr>
        <w:t xml:space="preserve"> Biaya = Rp 150.000.000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Kondisi Terlambat (Probabilitas 0,30):</w:t>
      </w:r>
      <w:r>
        <w:rPr>
          <w:rFonts w:ascii="Times New Roman" w:hAnsi="Times New Roman"/>
          <w:b w:val="0"/>
          <w:sz w:val="24"/>
        </w:rPr>
        <w:t xml:space="preserve"> Biaya = Rp 150.000.000 + Rp 50.000.000 = Rp 200.000.000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EMV(Vendor X) = (0,70 × Rp 150.000.000) + (0,30 × Rp 200.000.000)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EMV(Vendor X) = Rp 105.000.000 + Rp 60.000.000 = Rp 165.000.000</w:t>
      </w:r>
    </w:p>
    <w:p>
      <w:pPr>
        <w:spacing w:before="0" w:after="120" w:line="360" w:lineRule="auto"/>
        <w:jc w:val="both"/>
      </w:pPr>
      <w:r>
        <w:rPr>
          <w:rFonts w:ascii="Times New Roman" w:hAnsi="Times New Roman"/>
          <w:b w:val="0"/>
          <w:color w:val="000000"/>
          <w:sz w:val="24"/>
        </w:rPr>
        <w:t>(Catatan: Dapat juga dihitung dari Biaya Pokok Rp 150 Jt + Ekspektasi Denda (0,30 × Rp 50 Jt = Rp 15 Jt) = Rp 165.000.000).</w:t>
      </w:r>
    </w:p>
    <w:p>
      <w:pPr>
        <w:spacing w:before="0" w:after="120" w:line="360" w:lineRule="auto"/>
        <w:jc w:val="both"/>
      </w:pPr>
      <w:r>
        <w:rPr>
          <w:rFonts w:ascii="Times New Roman" w:hAnsi="Times New Roman"/>
          <w:b w:val="0"/>
          <w:color w:val="000000"/>
          <w:sz w:val="24"/>
        </w:rPr>
        <w:t>2. Perhitungan EMV Pengeluaran Total untuk Vendor Y:</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Kondisi Tepat Waktu (Probabilitas 0,90):</w:t>
      </w:r>
      <w:r>
        <w:rPr>
          <w:rFonts w:ascii="Times New Roman" w:hAnsi="Times New Roman"/>
          <w:b w:val="0"/>
          <w:sz w:val="24"/>
        </w:rPr>
        <w:t xml:space="preserve"> Biaya = Rp 180.000.000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Kondisi Terlambat (Probabilitas 0,10):</w:t>
      </w:r>
      <w:r>
        <w:rPr>
          <w:rFonts w:ascii="Times New Roman" w:hAnsi="Times New Roman"/>
          <w:b w:val="0"/>
          <w:sz w:val="24"/>
        </w:rPr>
        <w:t xml:space="preserve"> Biaya = Rp 180.000.000 + Rp 80.000.000 = Rp 260.000.000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EMV(Vendor Y) = (0,90 × Rp 180.000.000) + (0,10 × Rp 260.000.000)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EMV(Vendor Y) = Rp 162.000.000 + Rp 26.000.000 = Rp 188.000.000</w:t>
      </w:r>
    </w:p>
    <w:p>
      <w:pPr>
        <w:spacing w:before="0" w:after="120" w:line="360" w:lineRule="auto"/>
        <w:jc w:val="both"/>
      </w:pPr>
      <w:r>
        <w:rPr>
          <w:rFonts w:ascii="Times New Roman" w:hAnsi="Times New Roman"/>
          <w:b w:val="0"/>
          <w:color w:val="000000"/>
          <w:sz w:val="24"/>
        </w:rPr>
        <w:t>(Catatan: Dapat juga dihitung dari Biaya Pokok Rp 180 Jt + Ekspektasi Denda (0,10 × Rp 80 Jt = Rp 8 Jt) = Rp 188.000.000).</w:t>
      </w:r>
    </w:p>
    <w:p>
      <w:pPr>
        <w:keepNext/>
        <w:spacing w:before="160" w:after="80" w:line="276" w:lineRule="auto"/>
      </w:pPr>
      <w:r>
        <w:rPr>
          <w:rFonts w:ascii="Times New Roman" w:hAnsi="Times New Roman"/>
          <w:b/>
          <w:i/>
          <w:color w:val="000000"/>
          <w:sz w:val="24"/>
        </w:rPr>
        <w:t>c. Keputusan Rekomendasi Berdasarkan Analisis Kuantitatif EMV</w:t>
      </w:r>
    </w:p>
    <w:p>
      <w:pPr>
        <w:spacing w:before="0" w:after="120" w:line="360" w:lineRule="auto"/>
        <w:jc w:val="both"/>
      </w:pPr>
      <w:r>
        <w:rPr>
          <w:rFonts w:ascii="Times New Roman" w:hAnsi="Times New Roman"/>
          <w:b w:val="0"/>
          <w:color w:val="000000"/>
          <w:sz w:val="24"/>
        </w:rPr>
        <w:t>Rekomendasi Pemilihan: VENDOR X SEBAIKNYA DIPILIH.</w:t>
        <w:br/>
        <w:t>Alasan Analitis:</w:t>
        <w:br/>
        <w:t>Dalam konteks manajemen biaya proyek, kriteria seleksi yang optimal adalah meminimalkan total ekspektasi pengeluaran dana moneter (expected cost minimization). Nilai EMV pengeluaran Vendor X adalah sebesar Rp 165.000.000, sedangkan EMV pengeluaran Vendor Y adalah sebesar Rp 188.000.000. Dengan memilih Vendor X, proyek secara statistik diperkirakan menghemat anggaran sebesar Rp 23.000.000 (Rp 188.000.000 - Rp 165.000.000) dibandingkan jika mengontrak Vendor Y.</w:t>
      </w:r>
    </w:p>
    <w:p>
      <w:pPr>
        <w:keepNext/>
        <w:spacing w:before="160" w:after="80" w:line="276" w:lineRule="auto"/>
      </w:pPr>
      <w:r>
        <w:rPr>
          <w:rFonts w:ascii="Times New Roman" w:hAnsi="Times New Roman"/>
          <w:b/>
          <w:i/>
          <w:color w:val="000000"/>
          <w:sz w:val="24"/>
        </w:rPr>
        <w:t>d. Analisis Keputusan Berdasarkan Sikap Preferensi Risiko (Risk-Averse Perspective)</w:t>
      </w:r>
    </w:p>
    <w:p>
      <w:pPr>
        <w:spacing w:before="0" w:after="120" w:line="360" w:lineRule="auto"/>
        <w:jc w:val="both"/>
      </w:pPr>
      <w:r>
        <w:rPr>
          <w:rFonts w:ascii="Times New Roman" w:hAnsi="Times New Roman"/>
          <w:b w:val="0"/>
          <w:color w:val="000000"/>
          <w:sz w:val="24"/>
        </w:rPr>
        <w:t>Pertanyaan: Apakah pilihan akan berbeda jika Manajer Proyek memiliki preferensi menghindari risiko (risk-averse)?</w:t>
        <w:br/>
        <w:t>Jawaban: YA, PILIHAN DAPAT BERUBAH MEMILIH VENDOR Y.</w:t>
        <w:br/>
        <w:t>Penjelasan Analitis Mendalam:</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Karakteristik Pengambil Keputusan Risk-Averse: Seseorang yang risk-averse sangat memprioritaskan kepastian dan memiliki toleransi yang sangat rendah terhadap probabilitas kegagalan, terutama jika aktivitas tersebut bersifat sangat kritis (Critical Activity) terhadap reputasi organisasi atau jadwal rilis akhir proyek.</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Tingkat Keandalan Vendor Y (90% Kepastian Sukses): Vendor Y menawarkan tingkat kepastian penyelesaian tepat waktu sebesar 90% (hanya 10% peluang terlambat), sementara Vendor X memiliki risiko kegagalan keterlambatan yang cukup tinggi, yaitu 30% (hampir sepertiga kemungkinan gagal).</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Konsep Premi Asuransi Kualitas (Risk Premium): Selisih biaya dasar penawaran sebesar Rp 30.000.000 (Vendor Y Rp 180 Jt vs Vendor X Rp 150 Jt) dipandang oleh manajer risk-averse sebagai "premi asuransi" yang wajar untuk dibayarkan demi membeli kepastian ketepatan waktu sebesar 90%. Manajer risk-averse lebih rela membayar pasti lebih mahal di depan daripada menanggung stres operasional dan ancaman reputasi akibat 30% risiko kegagalan Vendor X.</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Konteks Kritis Proyek PRE-02: Jika modul yang dialihdayakan adalah modul inti pengolahan pipeline fitur Machine Learning yang menjadi prasyarat mutlak seluruh pengujian berikutnya, memilih Vendor Y menjadi keputusan yang sangat rasional bagi manajer yang risk-averse guna menjamin kesinambungan proyek tanpa gangguan jadwal kritis.</w:t>
      </w:r>
    </w:p>
    <w:p>
      <w:pPr>
        <w:keepNext/>
        <w:spacing w:before="320" w:after="180" w:line="276" w:lineRule="auto"/>
      </w:pPr>
      <w:r>
        <w:rPr>
          <w:rFonts w:ascii="Times New Roman" w:hAnsi="Times New Roman"/>
          <w:b/>
          <w:color w:val="000000"/>
          <w:sz w:val="28"/>
        </w:rPr>
        <w:t>C. REFLEKSI MANDIRI</w:t>
      </w:r>
    </w:p>
    <w:p>
      <w:pPr>
        <w:spacing w:before="0" w:after="120" w:line="360" w:lineRule="auto"/>
        <w:jc w:val="both"/>
      </w:pPr>
      <w:r>
        <w:rPr>
          <w:rFonts w:ascii="Times New Roman" w:hAnsi="Times New Roman"/>
          <w:b w:val="0"/>
          <w:color w:val="000000"/>
          <w:sz w:val="24"/>
        </w:rPr>
        <w:t>Bagian ini menyajikan perenungan kritis dan evaluasi personal mahasiswa terhadap konsep analisis risiko kuantitatif dan perumusan strategi respons risiko, serta refleksinya dalam mengawal proyek riset PRE-02 (Sistem Prediksi Probabilitas Keterlambatan Proyek Berbasis Machine Learning sebagai Early Warning System):</w:t>
      </w:r>
    </w:p>
    <w:p>
      <w:pPr>
        <w:keepNext/>
        <w:spacing w:before="240" w:after="100" w:line="276" w:lineRule="auto"/>
      </w:pPr>
      <w:r>
        <w:rPr>
          <w:rFonts w:ascii="Times New Roman" w:hAnsi="Times New Roman"/>
          <w:b/>
          <w:color w:val="000000"/>
          <w:sz w:val="24"/>
        </w:rPr>
        <w:t>1. Dari berbagai strategi respons risiko yang dipelajari (Avoid, Transfer, Mitigate, Accept), strategi mana yang menurut Anda paling sesuai untuk proyek kelompok Anda saat ini, dan mengapa?</w:t>
      </w:r>
    </w:p>
    <w:p>
      <w:pPr>
        <w:spacing w:before="0" w:after="120" w:line="360" w:lineRule="auto"/>
        <w:jc w:val="both"/>
      </w:pPr>
      <w:r>
        <w:rPr>
          <w:rFonts w:ascii="Times New Roman" w:hAnsi="Times New Roman"/>
          <w:b w:val="0"/>
          <w:color w:val="000000"/>
          <w:sz w:val="24"/>
        </w:rPr>
        <w:t>Berdasarkan karakteristik riset rekayasa perangkat lunak dan machine learning PRE-02, strategi respons risiko yang paling dominan dan sesuai untuk diterapkan saat ini adalah kombinasi STRATEGI MITIGATE (MEMITIGASI) untuk ancaman teknis dan STRATEGI EXPLOIT (MENGEKSPLOITASI) untuk peluang komputasi.</w:t>
      </w:r>
    </w:p>
    <w:p>
      <w:pPr>
        <w:spacing w:before="0" w:after="120" w:line="360" w:lineRule="auto"/>
        <w:jc w:val="both"/>
      </w:pPr>
      <w:r>
        <w:rPr>
          <w:rFonts w:ascii="Times New Roman" w:hAnsi="Times New Roman"/>
          <w:b w:val="0"/>
          <w:color w:val="000000"/>
          <w:sz w:val="24"/>
        </w:rPr>
        <w:t>Rasionalitas Pemilihan Strategi Mitigate:</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Sifat Inheren Kompleksitas Model ML:</w:t>
      </w:r>
      <w:r>
        <w:rPr>
          <w:rFonts w:ascii="Times New Roman" w:hAnsi="Times New Roman"/>
          <w:b w:val="0"/>
          <w:sz w:val="24"/>
        </w:rPr>
        <w:t xml:space="preserve"> Risiko teknis seperti overfitting pada data sintetis, penurunan skor kalibrasi Brier Score, atau tingginya latensi komputasi inferensi tidak dapat dihindari sepenuhnya (Avoid) karena pemodelan probabilistik dan algoritma ensemble adalah esensi utama penelitian PRE-02. Risiko tersebut juga tidak dapat dialihkan (Transfer) kepada pihak ketiga karena proyek dikerjakan secara mandiri dalam lingkungan akademik.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Tindakan Reduksi Terarah:</w:t>
      </w:r>
      <w:r>
        <w:rPr>
          <w:rFonts w:ascii="Times New Roman" w:hAnsi="Times New Roman"/>
          <w:b w:val="0"/>
          <w:sz w:val="24"/>
        </w:rPr>
        <w:t xml:space="preserve"> Strategi mitigasi memungkinkan tim mengambil langkah rekayasa proaktif yang terukur—seperti menerapkan regularisasi bobot jaringan, validasi silang bertingkat (Stratified K-Fold), kuantisasi model ONNX runtime, dan teknik kalibrasi Isotonic Regression—sehingga skor risiko dapat ditekan ke dalam batas toleransi yang aman.</w:t>
      </w:r>
    </w:p>
    <w:p>
      <w:pPr>
        <w:keepNext/>
        <w:spacing w:before="240" w:after="100" w:line="276" w:lineRule="auto"/>
      </w:pPr>
      <w:r>
        <w:rPr>
          <w:rFonts w:ascii="Times New Roman" w:hAnsi="Times New Roman"/>
          <w:b/>
          <w:color w:val="000000"/>
          <w:sz w:val="24"/>
        </w:rPr>
        <w:t>2. Menurut Anda, apa perbedaan paling mendasar antara analisis risiko kualitatif dan kuantitatif, dan dalam situasi apa Anda akan memilih untuk melakukan analisis kuantitatif?</w:t>
      </w:r>
    </w:p>
    <w:p>
      <w:pPr>
        <w:spacing w:before="0" w:after="120" w:line="360" w:lineRule="auto"/>
        <w:jc w:val="both"/>
      </w:pPr>
      <w:r>
        <w:rPr>
          <w:rFonts w:ascii="Times New Roman" w:hAnsi="Times New Roman"/>
          <w:b w:val="0"/>
          <w:color w:val="000000"/>
          <w:sz w:val="24"/>
        </w:rPr>
        <w:t>Perbedaan paling mendasar antara kedua pendekatan tersebut terletak pada sifat representasi data dan tingkat objektivitasnya. Analisis kualitatif berfokus pada kategorisasi deskriptif berbasis persepsi subjektif ahli (menghasilkan peringkat ordinal: Tinggi, Sedang, Rendah pada matriks P&amp;I), sedangkan analisis kuantitatif berfokus pada kuantifikasi numerik berbasis matematika statistik (menghasilkan nilai moneter eksak dalam Rupiah, distribusi waktu probabilitas dalam hari, dan nilai EMV terukur).</w:t>
      </w:r>
    </w:p>
    <w:p>
      <w:pPr>
        <w:spacing w:before="0" w:after="120" w:line="360" w:lineRule="auto"/>
        <w:jc w:val="both"/>
      </w:pPr>
      <w:r>
        <w:rPr>
          <w:rFonts w:ascii="Times New Roman" w:hAnsi="Times New Roman"/>
          <w:b w:val="0"/>
          <w:color w:val="000000"/>
          <w:sz w:val="24"/>
        </w:rPr>
        <w:t>Situasi di Mana Saya Memilih Melakukan Analisis Kuantitatif:</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Ketika Diperlukan Penetapan Anggaran Cadangan Kontingensi yang Akurat: Jika sponsor atau manajemen menuntut justifikasi angka pasti untuk alokasi dana cadangan kontingensi biaya dan buffer jadwal, analisis kuantitatif (seperti EMV dan simulasi Monte Carlo) mutlak diperlukan guna memberikan dasar matematika yang dapat dipertanggungjawabkan.</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Pada Titik Keputusan Strategis yang Kompleks (Trade-Off Analysis): Ketika tim dihadapkan pada pilihan arsitektur biner atau keputusan pemilihan vendor pihak ketiga (misalnya analisis Make-or-Buy), teknik kuantitatif Decision Tree Analysis memberikan perbandingan moneter yang sangat transparan.</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Ketersediaan Data Historis yang Memadai: Analisis kuantitatif hanya efektif jika proyek memiliki data empiris atau estimasi probabilitas yang cukup andal; jika data sangat minim, analisis kualitatif lebih bijak digunakan untuk menghindari kesalahan ilusi presisi semu.</w:t>
      </w:r>
    </w:p>
    <w:p>
      <w:pPr>
        <w:keepNext/>
        <w:spacing w:before="240" w:after="100" w:line="276" w:lineRule="auto"/>
      </w:pPr>
      <w:r>
        <w:rPr>
          <w:rFonts w:ascii="Times New Roman" w:hAnsi="Times New Roman"/>
          <w:b/>
          <w:color w:val="000000"/>
          <w:sz w:val="24"/>
        </w:rPr>
        <w:t>3. Berdasarkan proyek kelompok Anda, apakah ada risiko yang menurut Anda perlu dianalisis lebih lanjut secara kuantitatif? Jelaskan mengapa!</w:t>
      </w:r>
    </w:p>
    <w:p>
      <w:pPr>
        <w:spacing w:before="0" w:after="120" w:line="360" w:lineRule="auto"/>
        <w:jc w:val="both"/>
      </w:pPr>
      <w:r>
        <w:rPr>
          <w:rFonts w:ascii="Times New Roman" w:hAnsi="Times New Roman"/>
          <w:b w:val="0"/>
          <w:color w:val="000000"/>
          <w:sz w:val="24"/>
        </w:rPr>
        <w:t>Ya, terdapat satu risiko kritis pada proyek PRE-02 yang sangat mendesak untuk dianalisis lebih lanjut secara kuantitatif, yaitu: "Risiko Kegagalan SLA Latensi Inferensi API Akibat Kompleksitas Arsitektur Ensemble Model ML (Deep Learning MLP vs Gradient Boosting)".</w:t>
      </w:r>
    </w:p>
    <w:p>
      <w:pPr>
        <w:spacing w:before="0" w:after="120" w:line="360" w:lineRule="auto"/>
        <w:jc w:val="both"/>
      </w:pPr>
      <w:r>
        <w:rPr>
          <w:rFonts w:ascii="Times New Roman" w:hAnsi="Times New Roman"/>
          <w:b w:val="0"/>
          <w:color w:val="000000"/>
          <w:sz w:val="24"/>
        </w:rPr>
        <w:t>Alasan Mengapa Perlu Dianalisis Kuantitatif:</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Dampak Terhadap Kebutuhan Biaya Komputasi Cloud:</w:t>
      </w:r>
      <w:r>
        <w:rPr>
          <w:rFonts w:ascii="Times New Roman" w:hAnsi="Times New Roman"/>
          <w:b w:val="0"/>
          <w:sz w:val="24"/>
        </w:rPr>
        <w:t xml:space="preserve"> Jika model ensemble yang dilatih memiliki latensi inferensi di atas batas toleransi 200 ms, sistem membutuhkan infrastruktur server komputasi GPU/vCPU berkapasitas tinggi di cloud. Menggunakan analisis Decision Tree dan EMV, tim dapat memodelkan biaya: apakah lebih hemat mengalokasikan waktu sprint 1 minggu untuk melakukan optimasi kompresi model (kuantisasi int8 dan pruning) dengan biaya tenaga kerja tertentu, ataukah langsung menyewa instance server cloud berdaya tinggi dengan biaya langganan moneter bulanan.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Keputusan Trade-Off Akurasi vs Efisiensi:</w:t>
      </w:r>
      <w:r>
        <w:rPr>
          <w:rFonts w:ascii="Times New Roman" w:hAnsi="Times New Roman"/>
          <w:b w:val="0"/>
          <w:sz w:val="24"/>
        </w:rPr>
        <w:t xml:space="preserve"> Analisis kuantitatif memungkinkan tim menghitung Expected Value dari penurunan marjinal skor AUC-ROC (misal turun 0.015) dibandingkan penghematan waktu inferensi sebesar 60%, sehingga keputusan arsitektur final didasarkan pada data kuantitatif yang optimal bagi sistem peringatan dini.</w:t>
      </w:r>
    </w:p>
    <w:p>
      <w:pPr>
        <w:keepNext/>
        <w:spacing w:before="240" w:after="100" w:line="276" w:lineRule="auto"/>
      </w:pPr>
      <w:r>
        <w:rPr>
          <w:rFonts w:ascii="Times New Roman" w:hAnsi="Times New Roman"/>
          <w:b/>
          <w:color w:val="000000"/>
          <w:sz w:val="24"/>
        </w:rPr>
        <w:t>4. Menurut Anda, apa tantangan terbesar dalam mengimplementasikan strategi respons risiko dalam proyek nyata?</w:t>
      </w:r>
    </w:p>
    <w:p>
      <w:pPr>
        <w:spacing w:before="0" w:after="120" w:line="360" w:lineRule="auto"/>
        <w:jc w:val="both"/>
      </w:pPr>
      <w:r>
        <w:rPr>
          <w:rFonts w:ascii="Times New Roman" w:hAnsi="Times New Roman"/>
          <w:b w:val="0"/>
          <w:color w:val="000000"/>
          <w:sz w:val="24"/>
        </w:rPr>
        <w:t>Berdasarkan pengamatan dan pengalaman selama pengerjaan proyek, tantangan terbesar dalam mengimplementasikan strategi respons risiko bukanlah pada tahap merencanakannya di atas kertas dokumen, melainkan pada tahap eksekusinya di dunia nyata (Implement Risk Responses). Tantangan-tantangan utama tersebut meliputi:</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Keengganan Mengalokasikan Sumber Daya Sebelum Krisis Terjadi (The Prevention Paradox): Sering kali tim merasa enggan menyisihkan waktu dan kapasitas tenaga kerja saat ini untuk aktivitas mitigasi preventif (seperti menulis unit testing otomatis atau menyiapkan script backup) karena merasa risiko tersebut "belum tentu terjadi". Akibatnya, rencana mitigasi tertunda hingga risiko benar-benar meledak menjadi isu kritis.</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Ambiguitas Kepemilikan Risiko (Diffusion of Responsibility): Ketika risiko tidak ditetapkan memiliki satu orang penanggung jawab tunggal (Risk Owner), tidak ada anggota tim yang merasa bertanggung jawab memantau indikator pemicu (risk triggers). Rencana respons akhirnya hanya menjadi dokumen formalitas tanpa eksekutor aktif.</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Munculnya Risiko Sekunder (Secondary Risks): Tindakan mitigasi yang dieksekusi sering kali secara tidak sengaja memicu risiko baru. Misalnya, ketika tim melakukan kuantisasi model untuk memitigasi latensi, timbul risiko sekunder berupa penurunan akurasi probabilitas kalibrasi model yang menuntut pengujian regresi tambahan.</w:t>
      </w:r>
    </w:p>
    <w:p>
      <w:pPr>
        <w:keepNext/>
        <w:spacing w:before="240" w:after="100" w:line="276" w:lineRule="auto"/>
      </w:pPr>
      <w:r>
        <w:rPr>
          <w:rFonts w:ascii="Times New Roman" w:hAnsi="Times New Roman"/>
          <w:b/>
          <w:color w:val="000000"/>
          <w:sz w:val="24"/>
        </w:rPr>
        <w:t>5. Bagaimana Anda akan memantau efektivitas strategi respons risiko yang telah direncanakan untuk proyek kelompok Anda?</w:t>
      </w:r>
    </w:p>
    <w:p>
      <w:pPr>
        <w:spacing w:before="0" w:after="120" w:line="360" w:lineRule="auto"/>
        <w:jc w:val="both"/>
      </w:pPr>
      <w:r>
        <w:rPr>
          <w:rFonts w:ascii="Times New Roman" w:hAnsi="Times New Roman"/>
          <w:b w:val="0"/>
          <w:color w:val="000000"/>
          <w:sz w:val="24"/>
        </w:rPr>
        <w:t>Untuk memastikan bahwa rencana respons risiko yang telah disepakati benar-benar berjalan efektif dan memberikan perlindungan nyata terhadap sasaran riset PRE-02, saya akan menerapkan empat mekanisme pemantauan berkelanjutan (Monitor Risks):</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Audit Metrik Kinerja Teknis Berkala (Technical Performance Analysis): Memantau secara berkala metrik teknis kunci model—seperti Brier Score, ECE (Expected Calibration Error), kurva AUC-ROC, dan latensi inferensi API—setiap kali kode baru digabungkan ke repositori. Jika metrik menyimpang dari ambang batas toleransi, hal ini menjadi sinyal objektif bahwa tindakan mitigasi perlu disesuaikan.</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Peninjauan Status Pemicu Risiko pada Setiap Sprint Standup: Menjadikan pengecekan indikator pemicu (risk triggers) sebagai rutinitas pemantauan tim. Setiap pemilik risiko melaporkan apakah gejala awal ancaman mulai teramati sehingga rencana kontingensi dapat diaktifkan tepat waktu.</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Analisis Cadangan Kontingensi (Reserve Analysis): Membandingkan sisa cadangan waktu (buffer jadwal) dan kapasitas kerja tim terhadap profil risiko yang tersisa. Jika risiko-risiko fase awal telah berhasil diatasi, cadangan penyangga dapat dilepaskan untuk memperkuat fase integrasi antarmuka.</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Pembaruan Berkala Dokumen Risk Register (Continuous Retrospective): Menjadikan Risk Register sebagai dokumen hidup yang diperbarui setiap akhir sprint. Risiko yang telah tertangani ditutup, risiko baru dicatat, dan efektivitas strategi respons sebelumnya dievaluasi secara terbuka dalam sesi retrospektif tim.</w:t>
      </w:r>
    </w:p>
    <w:p>
      <w:pPr>
        <w:keepNext/>
        <w:spacing w:before="320" w:after="180" w:line="276" w:lineRule="auto"/>
      </w:pPr>
      <w:r>
        <w:rPr>
          <w:rFonts w:ascii="Times New Roman" w:hAnsi="Times New Roman"/>
          <w:b/>
          <w:color w:val="000000"/>
          <w:sz w:val="28"/>
        </w:rPr>
        <w:t>D. DAFTAR PUSTAKA KHUSUS PERTEMUAN 12</w:t>
      </w:r>
    </w:p>
    <w:p>
      <w:pPr>
        <w:spacing w:before="0" w:after="120" w:line="360" w:lineRule="auto"/>
        <w:jc w:val="both"/>
      </w:pPr>
      <w:r>
        <w:rPr>
          <w:rFonts w:ascii="Times New Roman" w:hAnsi="Times New Roman"/>
          <w:b w:val="0"/>
          <w:color w:val="000000"/>
          <w:sz w:val="24"/>
        </w:rPr>
        <w:t>Daftar pustaka ini memuat seluruh literatur acuan akademis, standar manajemen proyek internasional PMI, buku analisis keputusan kuantitatif, serta teori manajemen risiko rekayasa perangkat lunak yang digunakan dalam penyusunan Lembar Kerja Mahasiswa (LKM) Pertemuan 12 mengikuti format baku APA 7th Edition (American Psychological Association):</w:t>
      </w:r>
    </w:p>
    <w:p>
      <w:pPr>
        <w:spacing w:after="160" w:line="276" w:lineRule="auto"/>
        <w:ind w:hanging="720" w:left="720"/>
        <w:jc w:val="both"/>
      </w:pPr>
      <w:r>
        <w:rPr>
          <w:rFonts w:ascii="Times New Roman" w:hAnsi="Times New Roman"/>
          <w:sz w:val="24"/>
        </w:rPr>
        <w:t>Clemen, R. T., &amp; Reilly, T. (2013). Making Hard Decisions with DecisionTools (3rd ed.). Mason, OH: South-Western Cengage Learning.</w:t>
      </w:r>
    </w:p>
    <w:p>
      <w:pPr>
        <w:spacing w:after="160" w:line="276" w:lineRule="auto"/>
        <w:ind w:hanging="720" w:left="720"/>
        <w:jc w:val="both"/>
      </w:pPr>
      <w:r>
        <w:rPr>
          <w:rFonts w:ascii="Times New Roman" w:hAnsi="Times New Roman"/>
          <w:sz w:val="24"/>
        </w:rPr>
        <w:t>Heldman, K. (2018). PMP: Project Management Professional Exam Study Guide (9th ed.). Indianapolis, IN: John Wiley &amp; Sons, Inc.</w:t>
      </w:r>
    </w:p>
    <w:p>
      <w:pPr>
        <w:spacing w:after="160" w:line="276" w:lineRule="auto"/>
        <w:ind w:hanging="720" w:left="720"/>
        <w:jc w:val="both"/>
      </w:pPr>
      <w:r>
        <w:rPr>
          <w:rFonts w:ascii="Times New Roman" w:hAnsi="Times New Roman"/>
          <w:sz w:val="24"/>
        </w:rPr>
        <w:t>Hillson, D. (2009). Managing Risk in Projects. Farnham, UK: Gower Publishing.</w:t>
      </w:r>
    </w:p>
    <w:p>
      <w:pPr>
        <w:spacing w:after="160" w:line="276" w:lineRule="auto"/>
        <w:ind w:hanging="720" w:left="720"/>
        <w:jc w:val="both"/>
      </w:pPr>
      <w:r>
        <w:rPr>
          <w:rFonts w:ascii="Times New Roman" w:hAnsi="Times New Roman"/>
          <w:sz w:val="24"/>
        </w:rPr>
        <w:t>Kerzner, H. (2017). Project Management: A Systems Approach to Planning, Scheduling, and Controlling (12th ed.). Hoboken, NJ: John Wiley &amp; Sons.</w:t>
      </w:r>
    </w:p>
    <w:p>
      <w:pPr>
        <w:spacing w:after="160" w:line="276" w:lineRule="auto"/>
        <w:ind w:hanging="720" w:left="720"/>
        <w:jc w:val="both"/>
      </w:pPr>
      <w:r>
        <w:rPr>
          <w:rFonts w:ascii="Times New Roman" w:hAnsi="Times New Roman"/>
          <w:sz w:val="24"/>
        </w:rPr>
        <w:t>Larson, E. W., &amp; Gray, C. F. (2021). Project Management: The Managerial Process (8th ed.). New York, NY: McGraw-Hill Education.</w:t>
      </w:r>
    </w:p>
    <w:p>
      <w:pPr>
        <w:spacing w:after="160" w:line="276" w:lineRule="auto"/>
        <w:ind w:hanging="720" w:left="720"/>
        <w:jc w:val="both"/>
      </w:pPr>
      <w:r>
        <w:rPr>
          <w:rFonts w:ascii="Times New Roman" w:hAnsi="Times New Roman"/>
          <w:sz w:val="24"/>
        </w:rPr>
        <w:t>Project Management Institute. (2017). A Guide to the Project Management Body of Knowledge (PMBOK® Guide) (6th ed.). Newtown Square, PA: Project Management Institute, Inc.</w:t>
      </w:r>
    </w:p>
    <w:p>
      <w:pPr>
        <w:spacing w:after="160" w:line="276" w:lineRule="auto"/>
        <w:ind w:hanging="720" w:left="720"/>
        <w:jc w:val="both"/>
      </w:pPr>
      <w:r>
        <w:rPr>
          <w:rFonts w:ascii="Times New Roman" w:hAnsi="Times New Roman"/>
          <w:sz w:val="24"/>
        </w:rPr>
        <w:t>Project Management Institute. (2019). The Standard for Risk Management in Portfolios, Programs, and Projects. Newtown Square, PA: Project Management Institute, Inc.</w:t>
      </w:r>
    </w:p>
    <w:p>
      <w:pPr>
        <w:spacing w:after="160" w:line="276" w:lineRule="auto"/>
        <w:ind w:hanging="720" w:left="720"/>
        <w:jc w:val="both"/>
      </w:pPr>
      <w:r>
        <w:rPr>
          <w:rFonts w:ascii="Times New Roman" w:hAnsi="Times New Roman"/>
          <w:sz w:val="24"/>
        </w:rPr>
        <w:t>Schwalbe, K. (2019). Information Technology Project Management (9th ed.). Boston, MA: Cengage Learning.</w:t>
      </w:r>
    </w:p>
    <w:p>
      <w:pPr>
        <w:spacing w:after="160" w:line="276" w:lineRule="auto"/>
        <w:ind w:hanging="720" w:left="720"/>
        <w:jc w:val="both"/>
      </w:pPr>
      <w:r>
        <w:rPr>
          <w:rFonts w:ascii="Times New Roman" w:hAnsi="Times New Roman"/>
          <w:sz w:val="24"/>
        </w:rPr>
        <w:t>Vose, D. (2008). Risk Analysis: A Quantitative Guide (3rd ed.). Chichester, UK: John Wiley &amp; Sons.</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