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 w:line="240" w:lineRule="auto"/>
        <w:jc w:val="center"/>
      </w:pPr>
      <w:r>
        <w:rPr>
          <w:rFonts w:ascii="Times New Roman" w:hAnsi="Times New Roman"/>
          <w:b/>
          <w:sz w:val="24"/>
        </w:rPr>
        <w:t>LKM 13: MANAJEMEN PENGADAAN &amp; PEMANGKU KEPENTINGAN PROYEK</w:t>
      </w:r>
    </w:p>
    <w:p>
      <w:pPr>
        <w:spacing w:after="200" w:line="240" w:lineRule="auto"/>
        <w:jc w:val="center"/>
      </w:pPr>
      <w:r>
        <w:rPr>
          <w:rFonts w:ascii="Times New Roman" w:hAnsi="Times New Roman"/>
          <w:sz w:val="22"/>
        </w:rPr>
        <w:t>Mata Kuliah: Teori Manajemen Proyek</w:t>
      </w:r>
    </w:p>
    <w:p>
      <w:pPr>
        <w:spacing w:after="200"/>
        <w:jc w:val="center"/>
      </w:pPr>
    </w:p>
    <w:p>
      <w:pPr>
        <w:spacing w:after="116" w:line="360" w:lineRule="auto"/>
        <w:jc w:val="center"/>
      </w:pPr>
      <w:r>
        <w:rPr>
          <w:rFonts w:ascii="Times New Roman" w:hAnsi="Times New Roman"/>
          <w:b/>
          <w:sz w:val="24"/>
        </w:rPr>
        <w:t>Dosen Pengampu:</w:t>
      </w:r>
    </w:p>
    <w:p>
      <w:pPr>
        <w:spacing w:after="116" w:line="360" w:lineRule="auto"/>
        <w:jc w:val="center"/>
      </w:pPr>
      <w:r>
        <w:rPr>
          <w:rFonts w:ascii="Times New Roman" w:hAnsi="Times New Roman"/>
          <w:sz w:val="24"/>
        </w:rPr>
        <w:t>Dr. Muhammad Ainul Yaqin, S.Si, M.Kom</w:t>
      </w:r>
    </w:p>
    <w:p>
      <w:pPr>
        <w:spacing w:after="116" w:line="360" w:lineRule="auto"/>
        <w:jc w:val="center"/>
      </w:pPr>
      <w:r>
        <w:t xml:space="preserve">                </w:t>
      </w:r>
    </w:p>
    <w:p>
      <w:pPr>
        <w:spacing w:after="110" w:line="360" w:lineRule="auto"/>
      </w:pPr>
    </w:p>
    <w:p>
      <w:pPr>
        <w:spacing w:after="110" w:line="360" w:lineRule="auto"/>
        <w:jc w:val="center"/>
      </w:pPr>
      <w:r>
        <w:drawing>
          <wp:inline xmlns:a="http://schemas.openxmlformats.org/drawingml/2006/main" xmlns:pic="http://schemas.openxmlformats.org/drawingml/2006/picture">
            <wp:extent cx="1745999" cy="1720214"/>
            <wp:docPr id="1" name="Picture 1"/>
            <wp:cNvGraphicFramePr>
              <a:graphicFrameLocks noChangeAspect="1"/>
            </wp:cNvGraphicFramePr>
            <a:graphic>
              <a:graphicData uri="http://schemas.openxmlformats.org/drawingml/2006/picture">
                <pic:pic>
                  <pic:nvPicPr>
                    <pic:cNvPr id="0" name="uin_logo.png"/>
                    <pic:cNvPicPr/>
                  </pic:nvPicPr>
                  <pic:blipFill>
                    <a:blip r:embed="rId9"/>
                    <a:stretch>
                      <a:fillRect/>
                    </a:stretch>
                  </pic:blipFill>
                  <pic:spPr>
                    <a:xfrm>
                      <a:off x="0" y="0"/>
                      <a:ext cx="1745999" cy="1720214"/>
                    </a:xfrm>
                    <a:prstGeom prst="rect"/>
                  </pic:spPr>
                </pic:pic>
              </a:graphicData>
            </a:graphic>
          </wp:inline>
        </w:drawing>
      </w:r>
    </w:p>
    <w:p>
      <w:pPr>
        <w:spacing w:after="116" w:line="360" w:lineRule="auto"/>
      </w:pPr>
    </w:p>
    <w:p>
      <w:pPr>
        <w:spacing w:after="116" w:line="360" w:lineRule="auto"/>
        <w:jc w:val="center"/>
      </w:pPr>
      <w:r>
        <w:rPr>
          <w:rFonts w:ascii="Times New Roman" w:hAnsi="Times New Roman"/>
          <w:b/>
          <w:sz w:val="24"/>
        </w:rPr>
        <w:t>Oleh :</w:t>
      </w:r>
    </w:p>
    <w:p>
      <w:pPr>
        <w:spacing w:after="116" w:line="360" w:lineRule="auto"/>
        <w:jc w:val="center"/>
      </w:pPr>
      <w:r>
        <w:rPr>
          <w:rFonts w:ascii="Times New Roman" w:hAnsi="Times New Roman"/>
          <w:sz w:val="24"/>
        </w:rPr>
        <w:t>Muhammad Nailul Ghufron Majid</w:t>
      </w:r>
    </w:p>
    <w:p>
      <w:pPr>
        <w:spacing w:after="116" w:line="360" w:lineRule="auto"/>
        <w:jc w:val="center"/>
      </w:pPr>
      <w:r>
        <w:rPr>
          <w:rFonts w:ascii="Times New Roman" w:hAnsi="Times New Roman"/>
          <w:sz w:val="24"/>
        </w:rPr>
        <w:t>240605110160</w:t>
      </w:r>
    </w:p>
    <w:p>
      <w:pPr>
        <w:spacing w:after="116" w:line="360" w:lineRule="auto"/>
      </w:pPr>
    </w:p>
    <w:p>
      <w:pPr>
        <w:spacing w:after="116" w:line="360" w:lineRule="auto"/>
      </w:pPr>
    </w:p>
    <w:p>
      <w:pPr>
        <w:spacing w:after="116" w:line="360" w:lineRule="auto"/>
      </w:pPr>
    </w:p>
    <w:p>
      <w:pPr>
        <w:spacing w:after="0" w:line="360" w:lineRule="auto"/>
        <w:jc w:val="center"/>
      </w:pPr>
      <w:r>
        <w:rPr>
          <w:rFonts w:ascii="Times New Roman" w:hAnsi="Times New Roman"/>
          <w:b/>
          <w:sz w:val="24"/>
        </w:rPr>
        <w:t>PRODI TEKNIK INFORMATIKA</w:t>
      </w:r>
    </w:p>
    <w:p>
      <w:pPr>
        <w:spacing w:after="0" w:line="360" w:lineRule="auto"/>
        <w:jc w:val="center"/>
      </w:pPr>
      <w:r>
        <w:rPr>
          <w:rFonts w:ascii="Times New Roman" w:hAnsi="Times New Roman"/>
          <w:b/>
          <w:sz w:val="24"/>
        </w:rPr>
        <w:t>FAKULTAS SAINS DAN TEKNOLOGI</w:t>
      </w:r>
    </w:p>
    <w:p>
      <w:pPr>
        <w:spacing w:after="0" w:line="360" w:lineRule="auto"/>
        <w:jc w:val="center"/>
      </w:pPr>
      <w:r>
        <w:rPr>
          <w:rFonts w:ascii="Times New Roman" w:hAnsi="Times New Roman"/>
          <w:b/>
          <w:sz w:val="24"/>
        </w:rPr>
        <w:t>UNIVERSITAS ISLAM NEGERI MAULANA MALIK IBRAHIM</w:t>
      </w:r>
    </w:p>
    <w:p>
      <w:pPr>
        <w:spacing w:after="0" w:line="360" w:lineRule="auto"/>
        <w:jc w:val="center"/>
      </w:pPr>
      <w:r>
        <w:rPr>
          <w:rFonts w:ascii="Times New Roman" w:hAnsi="Times New Roman"/>
          <w:b/>
          <w:sz w:val="24"/>
        </w:rPr>
        <w:t>MALANG</w:t>
      </w:r>
    </w:p>
    <w:p>
      <w:pPr>
        <w:spacing w:after="0" w:line="360" w:lineRule="auto"/>
        <w:jc w:val="center"/>
      </w:pPr>
      <w:r>
        <w:rPr>
          <w:rFonts w:ascii="Times New Roman" w:hAnsi="Times New Roman"/>
          <w:b/>
          <w:sz w:val="24"/>
        </w:rPr>
        <w:t>2026</w:t>
      </w:r>
    </w:p>
    <w:p>
      <w:r>
        <w:br w:type="page"/>
      </w:r>
    </w:p>
    <w:p>
      <w:pPr>
        <w:keepNext/>
        <w:spacing w:before="320" w:after="180" w:line="276" w:lineRule="auto"/>
      </w:pPr>
      <w:r>
        <w:rPr>
          <w:rFonts w:ascii="Times New Roman" w:hAnsi="Times New Roman"/>
          <w:b/>
          <w:color w:val="000000"/>
          <w:sz w:val="28"/>
        </w:rPr>
        <w:t>A. TUGAS TERTULIS INDIVIDU</w:t>
      </w:r>
    </w:p>
    <w:p>
      <w:pPr>
        <w:keepNext/>
        <w:spacing w:before="240" w:after="100" w:line="276" w:lineRule="auto"/>
      </w:pPr>
      <w:r>
        <w:rPr>
          <w:rFonts w:ascii="Times New Roman" w:hAnsi="Times New Roman"/>
          <w:b/>
          <w:color w:val="000000"/>
          <w:sz w:val="24"/>
        </w:rPr>
        <w:t>1. Apa yang dimaksud dengan manajemen pengadaan proyek dan mengapa area pengetahuan ini penting?</w:t>
      </w:r>
    </w:p>
    <w:p>
      <w:pPr>
        <w:spacing w:before="0" w:after="120" w:line="360" w:lineRule="auto"/>
        <w:jc w:val="both"/>
      </w:pPr>
      <w:r>
        <w:rPr>
          <w:rFonts w:ascii="Times New Roman" w:hAnsi="Times New Roman"/>
          <w:b w:val="0"/>
          <w:color w:val="000000"/>
          <w:sz w:val="24"/>
        </w:rPr>
        <w:t>Manajemen Pengadaan Proyek (Project Procurement Management) adalah area pengetahuan manajemen proyek yang mencakup proses-proses yang diperlukan untuk membeli atau mengakuisisi produk, jasa, atau hasil kerja yang dibutuhkan dari luar tim proyek (PMBOK® Guide 6th Edition, PMI, 2017, hal. 459–502). Area pengetahuan ini mencakup tata kelola kontrak formal, administrasi hukum, pengendalian perubahan pesanan, evaluasi vendor penjual (sellers/contractors), serta penutupan perjanjian kerja sama pengadaan.</w:t>
      </w:r>
    </w:p>
    <w:p>
      <w:pPr>
        <w:spacing w:before="0" w:after="120" w:line="360" w:lineRule="auto"/>
        <w:jc w:val="both"/>
      </w:pPr>
      <w:r>
        <w:rPr>
          <w:rFonts w:ascii="Times New Roman" w:hAnsi="Times New Roman"/>
          <w:b w:val="0"/>
          <w:color w:val="000000"/>
          <w:sz w:val="24"/>
        </w:rPr>
        <w:t>Urgensi area pengetahuan manajemen pengadaan terhadap keberhasilan proyek didasari oleh faktor-faktor kritis berikut:</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Menjembatani Keterbatasan Kapasitas dan Keahlian Internal: Tidak ada organisasi yang memiliki seluruh sumber daya dan keahlian spesialis yang dibutuhkan untuk menyelesaikan proyek kompleks. Pengadaan memungkinkan proyek mengakuisisi teknologi mutakhir (misal: lisensi komputasi cloud, pustaka model teroptimasi, data telemetri historis) tanpa harus mengembangkannya dari nol.</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Efisiensi Biaya dan Pengalihan Risiko Finansial: Pengadaan yang terencana dengan baik membantu organisasi mendapatkan nilai investasi terbaik (best value for money) melalui mekanisme pasar kompetitif. Selain itu, pemilihan jenis kontrak yang tepat memungkinkan pengalihan sebagian risiko biaya dan keterlambatan kepada vendor pihak ketiga.</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Kepastian Hukum dan Perlindungan Hubungan Bisnis: Kontrak pengadaan merupakan instrumen hukum yang mengikat (legally binding). Manajemen pengadaan yang ketat melindungi hak-hak proyek, mencegah perselisihan interpretasi deliverables, dan menjamin klausul penalti ditegakkan jika terjadi wanprestasi.</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Konteks Relevansi pada Proyek PRE-02: Dalam riset sistem peringatan dini machine learning PRE-02, tim membutuhkan infrastruktur server berkecepatan tinggi dan penyimpanan dataset berskala besar. Pengadaan layanan compute cloud (seperti AWS EC2/GCP AI Platform) memastikan pelatihan model deep learning MLP dan ensemble gradient boosting dapat dieksekusi tanpa kendala keterbatasan hardware lokal kampus.</w:t>
      </w:r>
    </w:p>
    <w:p>
      <w:pPr>
        <w:keepNext/>
        <w:spacing w:before="240" w:after="100" w:line="276" w:lineRule="auto"/>
      </w:pPr>
      <w:r>
        <w:rPr>
          <w:rFonts w:ascii="Times New Roman" w:hAnsi="Times New Roman"/>
          <w:b/>
          <w:color w:val="000000"/>
          <w:sz w:val="24"/>
        </w:rPr>
        <w:t>2. Sebutkan dan jelaskan tiga proses dalam manajemen pengadaan proyek!</w:t>
      </w:r>
    </w:p>
    <w:p>
      <w:pPr>
        <w:spacing w:before="0" w:after="120" w:line="360" w:lineRule="auto"/>
        <w:jc w:val="both"/>
      </w:pPr>
      <w:r>
        <w:rPr>
          <w:rFonts w:ascii="Times New Roman" w:hAnsi="Times New Roman"/>
          <w:b w:val="0"/>
          <w:color w:val="000000"/>
          <w:sz w:val="24"/>
        </w:rPr>
        <w:t>Berdasarkan standar PMBOK® Guide 6th Edition (PMI, 2017, Bab 12), manajemen pengadaan proyek disederhanakan menjadi tiga proses utama yang berurutan dan terintegrasi:</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val="true"/>
        </w:trPr>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Nama Proses</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Kelompok Proses</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Tujuan &amp; Mekanisme Kerja Utama</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Output Kunci</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 Plan Procurement Management</w:t>
              <w:br/>
              <w:t>(Merencanakan Manajemen Pengadaan)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Planning</w:t>
              <w:br/>
              <w:t>(Perencanaan)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Mendokumentasikan keputusan pengadaan proyek, menentukan pendekatan akuisisi, mengidentifikasi calon penjual potensial, melakukan analisis Make-or-Buy, memilih jenis kontrak yang tepat, serta menyusun kriteria evaluasi penawaran.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Procurement Management Plan</w:t>
              <w:br/>
              <w:t>• Procurement Strategy</w:t>
              <w:br/>
              <w:t>• Bid Documents (RFP, RFQ, RFI)</w:t>
              <w:br/>
              <w:t>• Procurement Statement of Work (SOW)</w:t>
              <w:br/>
              <w:t>• Make-or-Buy Decisions</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 Conduct Procurements</w:t>
              <w:br/>
              <w:t>(Melaksanakan Pengadaan)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Executing</w:t>
              <w:br/>
              <w:t>(Pelaksanaan)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Menerbitkan dokumen lelang ke pasar, menerima respons/proposal dari calon penjual, mengevaluasi proposal berdasarkan kriteria terbobot, melakukan negosiasi teknis dan komersial, memilih penjual terbaik, serta menandatangani kontrak hukum resmi.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Selected Sellers</w:t>
              <w:br/>
              <w:t>• Agreements (Kontrak Hukum)</w:t>
              <w:br/>
              <w:t>• Change Requests</w:t>
              <w:br/>
              <w:t>• Pembaruan Project Management Plan</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 Control Procurements</w:t>
              <w:br/>
              <w:t>(Mengendalikan Pengadaan)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Monitoring &amp; Controlling</w:t>
              <w:br/>
              <w:t>(Pemantauan &amp; Pengendalian)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Mengelola hubungan kontrak kerja sama, memantau kinerja deliverable vendor terhadap SOW, menyetujui klaim pembayaran dan faktur, mengelola perubahan kontrak, menyelesaikan sengketa, melakukan audit pengadaan, hingga penutupan administratif kontrak.</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Closed Procurements (Penutupan Kontrak)</w:t>
              <w:br/>
              <w:t>• Work Performance Information</w:t>
              <w:br/>
              <w:t>• Procurement Documentation Updates</w:t>
              <w:br/>
              <w:t>• Change Requests</w:t>
            </w:r>
          </w:p>
        </w:tc>
      </w:tr>
    </w:tbl>
    <w:p>
      <w:pPr>
        <w:spacing w:before="0" w:after="120" w:line="276" w:lineRule="auto"/>
      </w:pPr>
    </w:p>
    <w:p>
      <w:pPr>
        <w:keepNext/>
        <w:spacing w:before="240" w:after="100" w:line="276" w:lineRule="auto"/>
      </w:pPr>
      <w:r>
        <w:rPr>
          <w:rFonts w:ascii="Times New Roman" w:hAnsi="Times New Roman"/>
          <w:b/>
          <w:color w:val="000000"/>
          <w:sz w:val="24"/>
        </w:rPr>
        <w:t>3. Sebutkan dan jelaskan perbedaan antara tiga jenis kontrak utama: Fixed Price (FP), Cost Reimbursable (CR), dan Time and Material (T&amp;M)! Berikan contoh penggunaan masing-masing jenis kontrak!</w:t>
      </w:r>
    </w:p>
    <w:p>
      <w:pPr>
        <w:spacing w:before="0" w:after="120" w:line="360" w:lineRule="auto"/>
        <w:jc w:val="both"/>
      </w:pPr>
      <w:r>
        <w:rPr>
          <w:rFonts w:ascii="Times New Roman" w:hAnsi="Times New Roman"/>
          <w:b w:val="0"/>
          <w:color w:val="000000"/>
          <w:sz w:val="24"/>
        </w:rPr>
        <w:t>Kontrak pengadaan dikelompokkan ke dalam tiga kategori utama berdasarkan mekanisme penetapan harga, cara pembayaran, dan pembagian risiko finansial antara pembeli (buyer) dan penjual (seller) (PMI, 2017):</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rPr>
          <w:tblHeader w:val="true"/>
          <w:cantSplit w:val="true"/>
        </w:trPr>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Kategori Kontrak</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Mekanisme Pembayaran &amp; Karakteristik</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Distribusi Risiko Finansial</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Variasi Jenis Kontrak</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Contoh Penerapan Nyata dalam Proyek TI</w:t>
            </w:r>
          </w:p>
        </w:tc>
      </w:tr>
      <w:tr>
        <w:trPr>
          <w:cantSplit w:val="true"/>
        </w:trPr>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 Fixed Price (FP)</w:t>
              <w:br/>
              <w:t>(Harga Tetap)</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Pembeli membayar sejumlah harga tetap yang telah disepakati untuk paket pekerjaan atau produk tertentu, terlepas dari berapa biaya riil yang dikeluarkan penjual.</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Risiko biaya berada penuh pada PENJUAL (Seller). Jika terjadi pembengkakan biaya produksi, penjual menanggung kerugian.</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Firm Fixed Price (FFP)</w:t>
              <w:br/>
              <w:t>• Fixed Price Incentive Fee (FPIF)</w:t>
              <w:br/>
              <w:t>• Fixed Price with EPA (FP-EPA)</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Pengadaan lisensi server basis data komersial tahunan seharga Rp 25.000.000 tetap, atau pengadaan pembuatan modul login API dengan spesifikasi teknis yang sudah 100% final dan beku.</w:t>
            </w:r>
          </w:p>
        </w:tc>
      </w:tr>
      <w:tr>
        <w:trPr>
          <w:cantSplit w:val="true"/>
        </w:trPr>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 Cost Reimbursable (CR)</w:t>
              <w:br/>
              <w:t>(Penggantian Biaya Riil)</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Pembeli mengganti seluruh biaya aktual sah yang dikeluarkan penjual untuk menyelesaikan pekerjaan, ditambah biaya keuntungan (fee) bagi penjual.</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Risiko biaya berada penuh pada PEMBELI (Buyer). Jika terjadi pembengkakan biaya, pembeli wajib mengganti seluruh pengeluaran.</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Cost Plus Fixed Fee (CPFF)</w:t>
              <w:br/>
              <w:t>• Cost Plus Incentive Fee (CPIF)</w:t>
              <w:br/>
              <w:t>• Cost Plus Award Fee (CPAF)</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Kontrak riset eksperimental pembuatan model deep learning generasi baru di mana algoritma dan waktu konvergensi belum diketahui secara pasti, sehingga biaya GPU komputasi riil diganti pembeli plus fee 10%.</w:t>
            </w:r>
          </w:p>
        </w:tc>
      </w:tr>
      <w:tr>
        <w:trPr>
          <w:cantSplit w:val="true"/>
        </w:trPr>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 Time and Material (T&amp;M)</w:t>
              <w:br/>
              <w:t>(Waktu dan Material)</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Kombinasi hibrida antara FP dan CR di mana pembeli membayar berdasarkan tarif satuan waktu kerja per jam/hari (labor rate) ditambah biaya aktual material yang digunakan.</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Risiko dibagi BERSAMA (Pembeli menanggung risiko lonjakan jam kerja, Penjual menanggung risiko ketersediaan staf).</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Sering kali dilengkapi klausul batas atas Not-To-Exceed (NTE) untuk membatasi pengeluaran maksimal pembeli.</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Menyewa jasa konsultan Senior MLOps Specialist selama 40 jam kerja dengan tarif Rp 500.000/jam untuk membantu konfigurasi deployment model PRE-02 ke server Kubernetes.</w:t>
            </w:r>
          </w:p>
        </w:tc>
      </w:tr>
    </w:tbl>
    <w:p>
      <w:pPr>
        <w:spacing w:before="0" w:after="120" w:line="276" w:lineRule="auto"/>
      </w:pPr>
    </w:p>
    <w:p>
      <w:pPr>
        <w:keepNext/>
        <w:spacing w:before="240" w:after="100" w:line="276" w:lineRule="auto"/>
      </w:pPr>
      <w:r>
        <w:rPr>
          <w:rFonts w:ascii="Times New Roman" w:hAnsi="Times New Roman"/>
          <w:b/>
          <w:color w:val="000000"/>
          <w:sz w:val="24"/>
        </w:rPr>
        <w:t>4. Dalam situasi apa kontrak Fixed Price lebih disarankan dibandingkan Cost Reimbursable, dan sebaliknya? Jelaskan dengan mempertimbangkan faktor ruang lingkup dan risiko!</w:t>
      </w:r>
    </w:p>
    <w:p>
      <w:pPr>
        <w:spacing w:before="0" w:after="120" w:line="360" w:lineRule="auto"/>
        <w:jc w:val="both"/>
      </w:pPr>
      <w:r>
        <w:rPr>
          <w:rFonts w:ascii="Times New Roman" w:hAnsi="Times New Roman"/>
          <w:b w:val="0"/>
          <w:color w:val="000000"/>
          <w:sz w:val="24"/>
        </w:rPr>
        <w:t>Pemilihan jenis kontrak yang tepat merupakan keputusan strategis yang ditentukan oleh dua parameter utama: tingkat kejelasan ruang lingkup pekerjaan (scope definition) dan toleransi profil risiko yang siap ditanggung organisasi (risk allocation):</w:t>
      </w:r>
    </w:p>
    <w:p>
      <w:pPr>
        <w:keepNext/>
        <w:spacing w:before="160" w:after="80" w:line="276" w:lineRule="auto"/>
      </w:pPr>
      <w:r>
        <w:rPr>
          <w:rFonts w:ascii="Times New Roman" w:hAnsi="Times New Roman"/>
          <w:b/>
          <w:i/>
          <w:color w:val="000000"/>
          <w:sz w:val="24"/>
        </w:rPr>
        <w:t>a. Situasi di Mana Kontrak Fixed Price (FP) Lebih Disarankan: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Ruang Lingkup Sangat Jelas dan Terdefinisi dengan Baik (Well-Defined Scope):</w:t>
      </w:r>
      <w:r>
        <w:rPr>
          <w:rFonts w:ascii="Times New Roman" w:hAnsi="Times New Roman"/>
          <w:b w:val="0"/>
          <w:sz w:val="24"/>
        </w:rPr>
        <w:t xml:space="preserve"> Pekerjaan memiliki spesifikasi teknis, Procurement Statement of Work (SOW), dan kriteria penerimaan yang mendetail, stabil, serta tidak akan mengalami perubahan signifikan. Penjual dapat menghitung estimasi biaya secara akurat.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Pembeli Ingin Kepastian Anggaran Maksimal:</w:t>
      </w:r>
      <w:r>
        <w:rPr>
          <w:rFonts w:ascii="Times New Roman" w:hAnsi="Times New Roman"/>
          <w:b w:val="0"/>
          <w:sz w:val="24"/>
        </w:rPr>
        <w:t xml:space="preserve"> Ketika pembeli memiliki pagu anggaran yang ketat dan tidak memiliki toleransi terhadap pembengkakan biaya (cost predictability is paramount).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Transfer Risiko Biaya ke Penjual:</w:t>
      </w:r>
      <w:r>
        <w:rPr>
          <w:rFonts w:ascii="Times New Roman" w:hAnsi="Times New Roman"/>
          <w:b w:val="0"/>
          <w:sz w:val="24"/>
        </w:rPr>
        <w:t xml:space="preserve"> Pembeli ingin mengalihkan risiko ketidakefisienan operasional kepada penjual. Penjual dipaksa bekerja efisien karena setiap pemborosan akan langsung menggerus margin labanya.</w:t>
      </w:r>
    </w:p>
    <w:p>
      <w:pPr>
        <w:keepNext/>
        <w:spacing w:before="160" w:after="80" w:line="276" w:lineRule="auto"/>
      </w:pPr>
      <w:r>
        <w:rPr>
          <w:rFonts w:ascii="Times New Roman" w:hAnsi="Times New Roman"/>
          <w:b/>
          <w:i/>
          <w:color w:val="000000"/>
          <w:sz w:val="24"/>
        </w:rPr>
        <w:t>b. Situasi di Mana Kontrak Cost Reimbursable (CR) Lebih Disarankan: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Ruang Lingkup Belum Jelas atau Bersifat Eksploratif/Riset (Evolving / High-Uncertainty Scope):</w:t>
      </w:r>
      <w:r>
        <w:rPr>
          <w:rFonts w:ascii="Times New Roman" w:hAnsi="Times New Roman"/>
          <w:b w:val="0"/>
          <w:sz w:val="24"/>
        </w:rPr>
        <w:t xml:space="preserve"> Pada proyek inovasi teknologi, riset Machine Learning, atau pengembangan software adaptif di mana arsitektur akhir dan tantangan teknis belum diketahui secara pasti. Jika dipaksakan menggunakan Fixed Price, penjual akan memasukkan margin kontingensi risiko yang sangat tinggi (inflasi harga) atau menolak mengajukan penawaran.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Kebutuhan Memulai Pekerjaan Secara Cepat (High Urgency):</w:t>
      </w:r>
      <w:r>
        <w:rPr>
          <w:rFonts w:ascii="Times New Roman" w:hAnsi="Times New Roman"/>
          <w:b w:val="0"/>
          <w:sz w:val="24"/>
        </w:rPr>
        <w:t xml:space="preserve"> Waktu tidak mencukupi untuk menyusun dokumen spesifikasi detail sebelum kontrak ditandatangani. Pembeli dapat segera menginstruksikan penjual bekerja sementara ruang lingkup disempurnakan secara paralel.</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Fleksibilitas Pengendalian Mutu:</w:t>
      </w:r>
      <w:r>
        <w:rPr>
          <w:rFonts w:ascii="Times New Roman" w:hAnsi="Times New Roman"/>
          <w:b w:val="0"/>
          <w:sz w:val="24"/>
        </w:rPr>
        <w:t xml:space="preserve"> Pembeli mempertahankan kendali penuh terhadap arah teknis pekerjaan dan berhak mengubah prioritas tanpa harus menegosiasikan change order formal yang berlarut-larut.</w:t>
      </w:r>
    </w:p>
    <w:p>
      <w:pPr>
        <w:keepNext/>
        <w:spacing w:before="240" w:after="100" w:line="276" w:lineRule="auto"/>
      </w:pPr>
      <w:r>
        <w:rPr>
          <w:rFonts w:ascii="Times New Roman" w:hAnsi="Times New Roman"/>
          <w:b/>
          <w:color w:val="000000"/>
          <w:sz w:val="24"/>
        </w:rPr>
        <w:t>5. Apa yang dimaksud dengan analisis make-or-buy dan mengapa analisis ini penting dalam perencanaan pengadaan?</w:t>
      </w:r>
    </w:p>
    <w:p>
      <w:pPr>
        <w:spacing w:before="0" w:after="120" w:line="360" w:lineRule="auto"/>
        <w:jc w:val="both"/>
      </w:pPr>
      <w:r>
        <w:rPr>
          <w:rFonts w:ascii="Times New Roman" w:hAnsi="Times New Roman"/>
          <w:b w:val="0"/>
          <w:color w:val="000000"/>
          <w:sz w:val="24"/>
        </w:rPr>
        <w:t>Analisis Make-or-Buy (Make-or-Buy Analysis) adalah teknik manajemen analitis yang digunakan pada proses Plan Procurement Management untuk mengevaluasi dan memutuskan apakah suatu produk, modul perangkat lunak, aset, atau layanan pekerjaan sebaiknya diproduksi secara mandiri di internal tim proyek (Make) atau dibeli/dialihdayakan dari vendor eksternal (Buy) (PMI, 2017, hal. 479).</w:t>
      </w:r>
    </w:p>
    <w:p>
      <w:pPr>
        <w:spacing w:before="0" w:after="120" w:line="360" w:lineRule="auto"/>
        <w:jc w:val="both"/>
      </w:pPr>
      <w:r>
        <w:rPr>
          <w:rFonts w:ascii="Times New Roman" w:hAnsi="Times New Roman"/>
          <w:b w:val="0"/>
          <w:color w:val="000000"/>
          <w:sz w:val="24"/>
        </w:rPr>
        <w:t>Analisis ini melibatkan perbandingan kuantitatif (analisis biaya langsung, biaya tidak langsung, biaya modal, dan biaya operasional) serta pertimbangan kualitatif strategis. Urgensi pentingnya analisis Make-or-Buy meliputi:</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Optimalisasi Alokasi Sumber Daya Finansial dan Titik Impas (Break-Even Analysis): Membantu proyek menghitung volume penggunaan di mana opsi Buy menjadi lebih murah daripada Make, atau sebaliknya, sehingga mencegah investasi modal (capital expenditure) yang sia-sia pada kapabilitas yang jarang digunakan.</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Fokus pada Kompetensi Inti Proyek (Core Competencies): Memastikan tim internal memusatkan waktu dan keahlian terbaiknya pada aktivitas diferensiasi utama proyek (misal: inovasi algoritma kalibrasi model PRE-02), sementara modul pendukung komoditas (seperti antarmuka otentikasi login pengguna) dialihdayakan ke penyedia spesialis.</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Pertimbangan Ketersediaan Kapasitas dan Waktu Pasar (Time-to-Market): Jika tim internal mengalami kelebihan beban kerja (over-allocated) dan tenggat waktu rilis mendesak, opsi Buy memungkinkan integrasi instan yang memangkas jadwal pengembangan secara signifikan.</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Perlindungan Kekayaan Intelektual dan Kendali Kualitas: Analisis ini mempertimbangkan risiko keamanan; data rahasia atau algoritma proprietari bernilai tinggi umumnya diputuskan Make untuk mencegah kebocoran informasi kepada pihak ketiga.</w:t>
      </w:r>
    </w:p>
    <w:p>
      <w:pPr>
        <w:keepNext/>
        <w:spacing w:before="240" w:after="100" w:line="276" w:lineRule="auto"/>
      </w:pPr>
      <w:r>
        <w:rPr>
          <w:rFonts w:ascii="Times New Roman" w:hAnsi="Times New Roman"/>
          <w:b/>
          <w:color w:val="000000"/>
          <w:sz w:val="24"/>
        </w:rPr>
        <w:t>6. Sebutkan dan jelaskan empat proses dalam manajemen pemangku kepentingan proyek!</w:t>
      </w:r>
    </w:p>
    <w:p>
      <w:pPr>
        <w:spacing w:before="0" w:after="120" w:line="360" w:lineRule="auto"/>
        <w:jc w:val="both"/>
      </w:pPr>
      <w:r>
        <w:rPr>
          <w:rFonts w:ascii="Times New Roman" w:hAnsi="Times New Roman"/>
          <w:b w:val="0"/>
          <w:color w:val="000000"/>
          <w:sz w:val="24"/>
        </w:rPr>
        <w:t>Manajemen Pemangku Kepentingan Proyek (Project Stakeholder Management) mencakup empat proses yang dirancang untuk mengidentifikasi pihak-pihak berkepentingan, menganalisis ekspektasi mereka, dan melibatkan mereka secara efektif (PMBOK® Guide 6th Edition, PMI, 2017, Bab 13, hal. 503–536):</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val="true"/>
        </w:trPr>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Nama Proses</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Kelompok Proses</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Definisi, Tujuan, dan Mekanisme Kerja</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Output Kunci</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 Identify Stakeholders</w:t>
              <w:br/>
              <w:t>(Mengidentifikasi Pemangku Kepentingan)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Initiating</w:t>
              <w:br/>
              <w:t>(Inisiasi)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Mengidentifikasi seluruh individu, kelompok, atau organisasi yang memengaruhi atau terpengaruh oleh keputusan, aktivitas, atau hasil proyek secara teratur, serta mendokumentasikan peran, ekspektasi, dan tingkat pengaruh mereka.</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Stakeholder Register</w:t>
              <w:br/>
              <w:t>• Change Requests</w:t>
              <w:br/>
              <w:t>• Pembaruan Project Management Plan</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 Plan Stakeholder Engagement</w:t>
              <w:br/>
              <w:t>(Merencanakan Keterlibatan)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Planning</w:t>
              <w:br/>
              <w:t>(Perencanaan)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Mengembangkan pendekatan strategis untuk melibatkan para pemangku kepentingan berdasarkan analisis kebutuhan, kepentingan personal, dan potensi dampak mereka terhadap keberhasilan proyek guna memenangkan dukungan mereka.</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Stakeholder Engagement Plan</w:t>
              <w:br/>
              <w:t>• Pembaruan Project Management Plan</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 Manage Stakeholder Engagement</w:t>
              <w:br/>
              <w:t>(Mengelola Keterlibatan)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Executing</w:t>
              <w:br/>
              <w:t>(Pelaksanaan)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Berkomunikasi aktif dan bekerja sama secara nyata dengan pemangku kepentingan untuk memenuhi kebutuhan dan ekspektasi mereka, menangani isu dan resistensi segera, serta membina kolaborasi positif sepanjang proyek.</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Change Requests</w:t>
              <w:br/>
              <w:t>• Issue Log (Log Masalah)</w:t>
              <w:br/>
              <w:t>• Pembaruan Stakeholder Register</w:t>
              <w:br/>
              <w:t>• Project Communications</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 Monitor Stakeholder Engagement</w:t>
              <w:br/>
              <w:t>(Memantau Keterlibatan)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Monitoring &amp; Controlling</w:t>
              <w:br/>
              <w:t>(Pemantauan &amp; Pengendalian)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Memantau hubungan interpersonal dan efektivitas interaksi pemangku kepentingan secara menyeluruh, serta menyesuaikan strategi dan rencana keterlibatan jika terjadi perubahan dinamika kekuasaan atau pergeseran persepsi.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Work Performance Information</w:t>
              <w:br/>
              <w:t>• Change Requests</w:t>
              <w:br/>
              <w:t>• Pembaruan Stakeholder Engagement Plan</w:t>
              <w:br/>
              <w:t>• Pembaruan Stakeholder Register</w:t>
            </w:r>
          </w:p>
        </w:tc>
      </w:tr>
    </w:tbl>
    <w:p>
      <w:pPr>
        <w:spacing w:before="0" w:after="120" w:line="276" w:lineRule="auto"/>
      </w:pPr>
    </w:p>
    <w:p>
      <w:pPr>
        <w:keepNext/>
        <w:spacing w:before="240" w:after="100" w:line="276" w:lineRule="auto"/>
      </w:pPr>
      <w:r>
        <w:rPr>
          <w:rFonts w:ascii="Times New Roman" w:hAnsi="Times New Roman"/>
          <w:b/>
          <w:color w:val="000000"/>
          <w:sz w:val="24"/>
        </w:rPr>
        <w:t>7. Apa yang dimaksud dengan Stakeholder Register dan informasi apa saja yang harus dicatat di dalamnya?</w:t>
      </w:r>
    </w:p>
    <w:p>
      <w:pPr>
        <w:spacing w:before="0" w:after="120" w:line="360" w:lineRule="auto"/>
        <w:jc w:val="both"/>
      </w:pPr>
      <w:r>
        <w:rPr>
          <w:rFonts w:ascii="Times New Roman" w:hAnsi="Times New Roman"/>
          <w:b w:val="0"/>
          <w:color w:val="000000"/>
          <w:sz w:val="24"/>
        </w:rPr>
        <w:t>Stakeholder Register (Daftar Pemangku Kepentingan) adalah dokumen manajemen proyek sentral yang berfungsi mencatat seluruh informasi relevan mengenai setiap pihak yang teridentifikasi memiliki kepentingan atau pengaruh terhadap proyek (PMI, 2017, hal. 514). Dokumen ini menjadi masukan (input) krusial dalam perencanaan komunikasi, manajemen risiko, dan penentuan ruang lingkup.</w:t>
      </w:r>
    </w:p>
    <w:p>
      <w:pPr>
        <w:spacing w:before="0" w:after="120" w:line="360" w:lineRule="auto"/>
        <w:jc w:val="both"/>
      </w:pPr>
      <w:r>
        <w:rPr>
          <w:rFonts w:ascii="Times New Roman" w:hAnsi="Times New Roman"/>
          <w:b w:val="0"/>
          <w:color w:val="000000"/>
          <w:sz w:val="24"/>
        </w:rPr>
        <w:t>Komponen informasi komprehensif yang wajib dicatat di dalam Stakeholder Register dikelompokkan ke dalam tiga kategori utama:</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Informasi Identifikasi (Identification Information): Nama lengkap pemangku kepentingan, posisi/jabatan organisasi, departemen/perusahaan asal, peran spesifik dalam proyek (misal: Sponsor, Project Manager, Lead Data Scientist, Klien), lokasi kerja, dan kontak resmi (email, telepon).</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Informasi Penilaian (Assessment Information): Ekspektasi dan kebutuhan utama terhadap hasil akhir proyek, potensi dampak keterlibatan mereka terhadap deliverables, fase siklus hidup proyek di mana pemangku kepentingan memiliki minat tertinggi, serta klasifikasi tingkat Kekuasaan (Power) dan Kepentingan (Interest).</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Klasifikasi Pemangku Kepentingan (Stakeholder Classification): Kategori posisi pemangku kepentingan berdasarkan batas organisasi (Internal vs Eksternal), orientasi sikap terhadap proyek (Pendukung/Supporter, Netral/Neutral, Penentang/Resistant, atau Pemimpin/Leading), serta penempatan kuadran dalam Power/Interest Grid.</w:t>
      </w:r>
    </w:p>
    <w:p>
      <w:pPr>
        <w:keepNext/>
        <w:spacing w:before="240" w:after="100" w:line="276" w:lineRule="auto"/>
      </w:pPr>
      <w:r>
        <w:rPr>
          <w:rFonts w:ascii="Times New Roman" w:hAnsi="Times New Roman"/>
          <w:b/>
          <w:color w:val="000000"/>
          <w:sz w:val="24"/>
        </w:rPr>
        <w:t>8. Jelaskan apa yang dimaksud dengan Power/Interest Grid dan bagaimana alat ini digunakan untuk menentukan strategi keterlibatan pemangku kepentingan!</w:t>
      </w:r>
    </w:p>
    <w:p>
      <w:pPr>
        <w:spacing w:before="0" w:after="120" w:line="360" w:lineRule="auto"/>
        <w:jc w:val="both"/>
      </w:pPr>
      <w:r>
        <w:rPr>
          <w:rFonts w:ascii="Times New Roman" w:hAnsi="Times New Roman"/>
          <w:b w:val="0"/>
          <w:color w:val="000000"/>
          <w:sz w:val="24"/>
        </w:rPr>
        <w:t>Power/Interest Grid (Kisi Kekuasaan/Kepentingan / Matriks Mendelow, 1981) adalah alat visual dan analitis klasifikasi yang memetakan pemangku kepentingan ke dalam matriks dua dimensi berdasarkan kombinasi dua atribut kritis:</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Tingkat Kekuasaan / Pengaruh (Power / Authority):</w:t>
      </w:r>
      <w:r>
        <w:rPr>
          <w:rFonts w:ascii="Times New Roman" w:hAnsi="Times New Roman"/>
          <w:b w:val="0"/>
          <w:sz w:val="24"/>
        </w:rPr>
        <w:t xml:space="preserve"> Besarnya otoritas, wewenang hierarkis, atau kemampuan formal yang dimiliki pemangku kepentingan untuk menghentikan, mengubah arah, mengalokasikan anggaran, atau memengaruhi hasil akhir proyek.</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Tingkat Kepentingan (Interest / Concern):</w:t>
      </w:r>
      <w:r>
        <w:rPr>
          <w:rFonts w:ascii="Times New Roman" w:hAnsi="Times New Roman"/>
          <w:b w:val="0"/>
          <w:sz w:val="24"/>
        </w:rPr>
        <w:t xml:space="preserve"> Seberapa besar perhatian, kebutuhan, kepedulian, atau konsekuensi yang akan diterima pemangku kepentingan akibat keberhasilan atau kegagalan proyek.</w:t>
      </w:r>
    </w:p>
    <w:p>
      <w:pPr>
        <w:spacing w:before="0" w:after="120" w:line="360" w:lineRule="auto"/>
        <w:jc w:val="both"/>
      </w:pPr>
      <w:r>
        <w:rPr>
          <w:rFonts w:ascii="Times New Roman" w:hAnsi="Times New Roman"/>
          <w:b w:val="0"/>
          <w:color w:val="000000"/>
          <w:sz w:val="24"/>
        </w:rPr>
        <w:t>Pemanfaatan Alat untuk Menentukan Strategi Keterlibatan:</w:t>
        <w:br/>
        <w:t>Matriks membagi lanskap pemangku kepentingan ke dalam empat kuadran terpisah yang secara langsung memandu penetapan tingkat intensitas komunikasi dan pendekatan hubungan kerja:</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Kuadran 1: Power Tinggi, Interest Tinggi -&gt; Strategi "Manage Closely" (Kelola Secara Ketat).</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Kuadran 2: Power Tinggi, Interest Rendah -&gt; Strategi "Keep Satisfied" (Jaga Tetap Puas).</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Kuadran 3: Power Rendah, Interest Tinggi -&gt; Strategi "Keep Informed" (Jaga Tetap Terinformasi).</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Kuadran 4: Power Rendah, Interest Rendah -&gt; Strategi "Monitor" (Pantau dengan Upaya Minimal).</w:t>
      </w:r>
    </w:p>
    <w:p>
      <w:pPr>
        <w:spacing w:before="0" w:after="120" w:line="360" w:lineRule="auto"/>
        <w:jc w:val="both"/>
      </w:pPr>
      <w:r>
        <w:rPr>
          <w:rFonts w:ascii="Times New Roman" w:hAnsi="Times New Roman"/>
          <w:b w:val="0"/>
          <w:color w:val="000000"/>
          <w:sz w:val="24"/>
        </w:rPr>
        <w:t>Alat ini memastikan Manajer Proyek tidak membuang-buang waktu berkomunikasi berlebihan pada pihak berdaya rendah, serta tidak mengabaikan pihak berkekuasaan tinggi yang berpotensi mematikan proyek.</w:t>
      </w:r>
    </w:p>
    <w:p>
      <w:pPr>
        <w:keepNext/>
        <w:spacing w:before="240" w:after="100" w:line="276" w:lineRule="auto"/>
      </w:pPr>
      <w:r>
        <w:rPr>
          <w:rFonts w:ascii="Times New Roman" w:hAnsi="Times New Roman"/>
          <w:b/>
          <w:color w:val="000000"/>
          <w:sz w:val="24"/>
        </w:rPr>
        <w:t>9. Bagaimana strategi komunikasi yang berbeda untuk setiap kuadran dalam Power/Interest Grid? Jelaskan!</w:t>
      </w:r>
    </w:p>
    <w:p>
      <w:pPr>
        <w:spacing w:before="0" w:after="120" w:line="360" w:lineRule="auto"/>
        <w:jc w:val="both"/>
      </w:pPr>
      <w:r>
        <w:rPr>
          <w:rFonts w:ascii="Times New Roman" w:hAnsi="Times New Roman"/>
          <w:b w:val="0"/>
          <w:color w:val="000000"/>
          <w:sz w:val="24"/>
        </w:rPr>
        <w:t>Setiap kuadran dalam Power/Interest Grid menuntut pendekatan komunikasi yang sangat spesifik dan terukur guna menjaga keselarasan ekspektasi dan efisiensi waktu kerja (PMI, 2017):</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rPr>
          <w:tblHeader w:val="true"/>
          <w:cantSplit w:val="true"/>
        </w:trPr>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Kuadran &amp; Karakteristik</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Strategi Keterlibatan</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Saluran &amp; Metode Komunikasi</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Frekuensi Komunikasi</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Contoh Stakeholder Proyek (PRE-02)</w:t>
            </w:r>
          </w:p>
        </w:tc>
      </w:tr>
      <w:tr>
        <w:trPr>
          <w:cantSplit w:val="true"/>
        </w:trPr>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Kuadran I:</w:t>
              <w:br/>
              <w:t>Power Tinggi,</w:t>
              <w:br/>
              <w:t>Interest Tinggi</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Manage Closely</w:t>
              <w:br/>
              <w:t>(Kelola Sangat Dekat &amp; Intensif)</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Rapat koordinasi tatap muka langsung / telekonferensi rutin</w:t>
              <w:br/>
              <w:t>• Pelibatan aktif dalam pengambilan keputusan strategis arsitektur</w:t>
              <w:br/>
              <w:t>• Laporan status mendalam (executive summary &amp; detail milestone)</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Tinggi</w:t>
              <w:br/>
              <w:t>(Mingguan atau sesuai milestone kritis)</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Dosen Pengampu Mata Kuliah (Dr. M. Ainul Yaqin)</w:t>
              <w:br/>
              <w:t>• Project Manager</w:t>
              <w:br/>
              <w:t>• Lead Data Scientist &amp; Lead Software Engineer</w:t>
            </w:r>
          </w:p>
        </w:tc>
      </w:tr>
      <w:tr>
        <w:trPr>
          <w:cantSplit w:val="true"/>
        </w:trPr>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Kuadran II:</w:t>
              <w:br/>
              <w:t>Power Tinggi,</w:t>
              <w:br/>
              <w:t>Interest Rendah</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Keep Satisfied</w:t>
              <w:br/>
              <w:t>(Jaga Tetap Puas &amp; Jangan Diganggu Detail Teknis)</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Laporan ringkasan tingkat tinggi (high-level dashboard)</w:t>
              <w:br/>
              <w:t>• Komunikasi formal berkala dan memo resmi</w:t>
              <w:br/>
              <w:t>• Respon cepat terhadap pertanyaan tanpa membebani mereka dengan perdebatan operasional harian</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Moderat</w:t>
              <w:br/>
              <w:t>(Bulanan atau saat perubahan baseline anggaran)</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Ketua Program Studi Teknik Informatika</w:t>
              <w:br/>
              <w:t>• Pimpinan Fakultas Sains dan Teknologi</w:t>
              <w:br/>
              <w:t>• Administrator Server Kampus / Kepala Lab Komputasi</w:t>
            </w:r>
          </w:p>
        </w:tc>
      </w:tr>
      <w:tr>
        <w:trPr>
          <w:cantSplit w:val="true"/>
        </w:trPr>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Kuadran III:</w:t>
              <w:br/>
              <w:t>Power Rendah,</w:t>
              <w:br/>
              <w:t>Interest Tinggi</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Keep Informed</w:t>
              <w:br/>
              <w:t>(Jaga Selalu Terinformasi &amp; Dengarkan Masukan)</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Buletin berkala, repositori dokumentasi terbuka (GitHub Wiki)</w:t>
              <w:br/>
              <w:t>• Sesi demonstrasi sistem (showcase demo) dan kuesioner pengguna</w:t>
              <w:br/>
              <w:t>• Kanal komunikasi asinkron (Discord channel / email update)</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Sedang hingga Rutin</w:t>
              <w:br/>
              <w:t>(Bi-weekly atau saat rilis prototipe antarmuka)</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Calon Pengguna Akhir (Manajer Proyek IT luar)</w:t>
              <w:br/>
              <w:t>• Mahasiswa anggota tim riset paralel</w:t>
              <w:br/>
              <w:t>• Asisten Laboratorium Komputasi</w:t>
            </w:r>
          </w:p>
        </w:tc>
      </w:tr>
      <w:tr>
        <w:trPr>
          <w:cantSplit w:val="true"/>
        </w:trPr>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Kuadran IV:</w:t>
              <w:br/>
              <w:t>Power Rendah,</w:t>
              <w:br/>
              <w:t>Interest Rendah</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Monitor</w:t>
              <w:br/>
              <w:t>(Pantau Pasif dengan Upaya Minimal)</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Akses informasi mandiri melalui metode Pull Communication (portal web repositori proyek)</w:t>
              <w:br/>
              <w:t>• Tidak memerlukan komunikasi dorong (push) aktif harian</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Rendah / Sesuai Kebutuhan</w:t>
              <w:br/>
              <w:t>(Hanya saat terjadi perubahan kebijakan besar)</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Vendor penyedia lisensi perangkat lunak umum</w:t>
              <w:br/>
              <w:t>• Komunitas mahasiswa umum di luar proyek</w:t>
            </w:r>
          </w:p>
        </w:tc>
      </w:tr>
    </w:tbl>
    <w:p>
      <w:pPr>
        <w:spacing w:before="0" w:after="120" w:line="276" w:lineRule="auto"/>
      </w:pPr>
    </w:p>
    <w:p>
      <w:pPr>
        <w:keepNext/>
        <w:spacing w:before="320" w:after="180" w:line="276" w:lineRule="auto"/>
      </w:pPr>
      <w:r>
        <w:rPr>
          <w:rFonts w:ascii="Times New Roman" w:hAnsi="Times New Roman"/>
          <w:b/>
          <w:color w:val="000000"/>
          <w:sz w:val="28"/>
        </w:rPr>
        <w:t>B. TUGAS LATIHAN DAN STUDI KASUS INDIVIDU: ANALISIS PENGADAAN MAKE-OR-BUY DAN STAKEHOLDER MAPPING</w:t>
      </w:r>
    </w:p>
    <w:p>
      <w:pPr>
        <w:spacing w:before="0" w:after="120" w:line="360" w:lineRule="auto"/>
        <w:jc w:val="both"/>
      </w:pPr>
      <w:r>
        <w:rPr>
          <w:rFonts w:ascii="Times New Roman" w:hAnsi="Times New Roman"/>
          <w:b w:val="0"/>
          <w:color w:val="000000"/>
          <w:sz w:val="24"/>
        </w:rPr>
        <w:t>Untuk mengoperasionalkan konsep manajemen pengadaan dan manajemen pemangku kepentingan secara aplikatif, tugas individu ini menyajikan simulasi analisis pengadaan Make-or-Buy berbasis titik impas (Break-Even Analysis) serta pemetaan visual Power/Interest Grid pada proyek riset PRE-02 (Sistem Prediksi Probabilitas Keterlambatan Proyek Berbasis Machine Learning sebagai Early Warning System):</w:t>
      </w:r>
    </w:p>
    <w:p>
      <w:pPr>
        <w:keepNext/>
        <w:spacing w:before="240" w:after="100" w:line="276" w:lineRule="auto"/>
      </w:pPr>
      <w:r>
        <w:rPr>
          <w:rFonts w:ascii="Times New Roman" w:hAnsi="Times New Roman"/>
          <w:b/>
          <w:color w:val="000000"/>
          <w:sz w:val="24"/>
        </w:rPr>
        <w:t>1. Studi Kasus Kuantitatif Analisis Make-or-Buy: Pengadaan Infrastruktur Server Komputasi Model ML</w:t>
      </w:r>
    </w:p>
    <w:p>
      <w:pPr>
        <w:spacing w:before="0" w:after="120" w:line="360" w:lineRule="auto"/>
        <w:jc w:val="both"/>
      </w:pPr>
      <w:r>
        <w:rPr>
          <w:rFonts w:ascii="Times New Roman" w:hAnsi="Times New Roman"/>
          <w:b w:val="0"/>
          <w:color w:val="000000"/>
          <w:sz w:val="24"/>
        </w:rPr>
        <w:t>Konteks Skenario: Dalam melatih algoritma Machine Learning yang kompleks (Neural Network MLP, Random Forest, dan Gradient Boosting) serta melakukan kalibrasi probabilitas berulang (Platt Scaling dan Isotonic Regression), tim proyek PRE-02 membutuhkan daya komputasi GPU yang andal. Tim dihadapkan pada dua opsi akuisisi: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Opsi 1 (Make / Bangun Server On-Premise Mandiri):</w:t>
      </w:r>
      <w:r>
        <w:rPr>
          <w:rFonts w:ascii="Times New Roman" w:hAnsi="Times New Roman"/>
          <w:b w:val="0"/>
          <w:sz w:val="24"/>
        </w:rPr>
        <w:t xml:space="preserve"> Membeli unit workstation PC dengan kartu grafis GPU khusus kelas workstation (Nvidia RTX 4090) seharga Rp 45.000.000 (biaya modal tetap awal / Fixed Cost). Biaya operasional bulanan (listrik, pendingin lab, dan pemeliharaan rutin) diestimasi sebesar Rp 500.000 per bulan.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Opsi 2 (Buy / Sewa Layanan Cloud GPU Terkelola - e.g., RunPod / AWS EC2 G5):</w:t>
      </w:r>
      <w:r>
        <w:rPr>
          <w:rFonts w:ascii="Times New Roman" w:hAnsi="Times New Roman"/>
          <w:b w:val="0"/>
          <w:sz w:val="24"/>
        </w:rPr>
        <w:t xml:space="preserve"> Tidak ada biaya investasi awal (Fixed Cost = Rp 0). Biaya sewa komputasi cloud berbasis langganan fleksibel diestimasi sebesar Rp 3.500.000 per bulan (Variable Cost).</w:t>
      </w:r>
    </w:p>
    <w:p>
      <w:pPr>
        <w:keepNext/>
        <w:spacing w:before="160" w:after="80" w:line="276" w:lineRule="auto"/>
      </w:pPr>
      <w:r>
        <w:rPr>
          <w:rFonts w:ascii="Times New Roman" w:hAnsi="Times New Roman"/>
          <w:b/>
          <w:i/>
          <w:color w:val="000000"/>
          <w:sz w:val="24"/>
        </w:rPr>
        <w:t>a. Perhitungan Titik Impas (Break-Even Analysis)</w:t>
      </w:r>
    </w:p>
    <w:p>
      <w:pPr>
        <w:spacing w:before="0" w:after="120" w:line="360" w:lineRule="auto"/>
        <w:jc w:val="both"/>
      </w:pPr>
      <w:r>
        <w:rPr>
          <w:rFonts w:ascii="Times New Roman" w:hAnsi="Times New Roman"/>
          <w:b w:val="0"/>
          <w:color w:val="000000"/>
          <w:sz w:val="24"/>
        </w:rPr>
        <w:t>Persamaan total biaya kedua opsi dirumuskan sebagai fungsi dari durasi proyek dalam bulan (M):</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Total Biaya Make:</w:t>
      </w:r>
      <w:r>
        <w:rPr>
          <w:rFonts w:ascii="Times New Roman" w:hAnsi="Times New Roman"/>
          <w:b w:val="0"/>
          <w:sz w:val="24"/>
        </w:rPr>
        <w:t xml:space="preserve"> TC(Make) = Biaya Tetap + (Biaya Variabel per Bulan × M) = Rp 45.000.000 + (Rp 500.000 × M)</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Total Biaya Buy:</w:t>
      </w:r>
      <w:r>
        <w:rPr>
          <w:rFonts w:ascii="Times New Roman" w:hAnsi="Times New Roman"/>
          <w:b w:val="0"/>
          <w:sz w:val="24"/>
        </w:rPr>
        <w:t xml:space="preserve"> TC(Buy) = Biaya Tetap + (Biaya Variabel per Bulan × M) = Rp 0 + (Rp 3.500.000 × M)</w:t>
      </w:r>
    </w:p>
    <w:p>
      <w:pPr>
        <w:spacing w:before="0" w:after="120" w:line="360" w:lineRule="auto"/>
        <w:jc w:val="both"/>
      </w:pPr>
      <w:r>
        <w:rPr>
          <w:rFonts w:ascii="Times New Roman" w:hAnsi="Times New Roman"/>
          <w:b w:val="0"/>
          <w:color w:val="000000"/>
          <w:sz w:val="24"/>
        </w:rPr>
        <w:t>Titik impas (Break-Even Month / M*) tercapai saat TC(Make) = TC(Buy):</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Rp 45.000.000 + Rp 500.000 × M = Rp 3.500.000 × M</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Rp 45.000.000 = (Rp 3.500.000 - Rp 500.000) × M</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Rp 45.000.000 = Rp 3.000.000 × M</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M* = Rp 45.000.000 / Rp 3.000.000 = 15 Bulan</w:t>
      </w:r>
    </w:p>
    <w:p>
      <w:pPr>
        <w:keepNext/>
        <w:spacing w:before="160" w:after="80" w:line="276" w:lineRule="auto"/>
      </w:pPr>
      <w:r>
        <w:rPr>
          <w:rFonts w:ascii="Times New Roman" w:hAnsi="Times New Roman"/>
          <w:b/>
          <w:i/>
          <w:color w:val="000000"/>
          <w:sz w:val="24"/>
        </w:rPr>
        <w:t>b. Evaluasi Keputusan Berdasarkan Durasi Proyek PRE-02</w:t>
      </w:r>
    </w:p>
    <w:p>
      <w:pPr>
        <w:spacing w:before="0" w:after="120" w:line="360" w:lineRule="auto"/>
        <w:jc w:val="both"/>
      </w:pPr>
      <w:r>
        <w:rPr>
          <w:rFonts w:ascii="Times New Roman" w:hAnsi="Times New Roman"/>
          <w:b w:val="0"/>
          <w:color w:val="000000"/>
          <w:sz w:val="24"/>
        </w:rPr>
        <w:t>Riset proyek PRE-02 dirancang untuk diselesaikan dalam durasi 1 semester perkuliahan aktif (4 bulan durasi intensif eksekusi eksperimen). Perbandingan biaya total pada M = 4 bulan adalah:</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TC(Make pada 4 bulan) = Rp 45.000.000 + (Rp 500.000 × 4) = Rp 47.000.000</w:t>
      </w:r>
    </w:p>
    <w:p>
      <w:pPr>
        <w:spacing w:before="0" w:after="80" w:line="360" w:lineRule="auto"/>
        <w:ind w:left="360" w:hanging="360"/>
        <w:jc w:val="both"/>
      </w:pPr>
      <w:r>
        <w:rPr>
          <w:rFonts w:ascii="Times New Roman" w:hAnsi="Times New Roman"/>
          <w:sz w:val="24"/>
        </w:rPr>
        <w:t xml:space="preserve">• </w:t>
      </w:r>
      <w:r>
        <w:rPr>
          <w:rFonts w:ascii="Times New Roman" w:hAnsi="Times New Roman"/>
          <w:b w:val="0"/>
          <w:sz w:val="24"/>
        </w:rPr>
        <w:t>TC(Buy pada 4 bulan) = Rp 3.500.000 × 4 = Rp 14.000.000</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Selisih Penghematan Finansial:</w:t>
      </w:r>
      <w:r>
        <w:rPr>
          <w:rFonts w:ascii="Times New Roman" w:hAnsi="Times New Roman"/>
          <w:b w:val="0"/>
          <w:sz w:val="24"/>
        </w:rPr>
        <w:t xml:space="preserve"> Rp 47.000.000 - Rp 14.000.000 = Rp 33.000.000 (Opsi Buy menghemat 70,21% anggaran).</w:t>
      </w:r>
    </w:p>
    <w:p>
      <w:pPr>
        <w:spacing w:before="0" w:after="120" w:line="360" w:lineRule="auto"/>
        <w:jc w:val="both"/>
      </w:pPr>
      <w:r>
        <w:rPr>
          <w:rFonts w:ascii="Times New Roman" w:hAnsi="Times New Roman"/>
          <w:b w:val="0"/>
          <w:color w:val="000000"/>
          <w:sz w:val="24"/>
        </w:rPr>
        <w:t>Keputusan Akhir Pengadaan: OPSI BUY (SEWA CLOUD GPU) DIREKOMENDASIKAN.</w:t>
        <w:br/>
        <w:t>Justifikasi Strategis:</w:t>
        <w:br/>
        <w:t>Karena durasi kebutuhan komputasi proyek (4 bulan) jauh berada di bawah titik impas (15 bulan), membeli workstation fisik mandiri merupakan pemborosan modal (capital expenditure) yang sangat tidak efisien. Opsi Buy menghilangkan risiko kerusakan perangkat keras, meniadakan depresiasi aset pasca-proyek selesai, dan memberikan skalabilitas kapasitas on-demand yang langsung siap pakai.</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val="true"/>
        </w:trPr>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Dimensi Evaluasi</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Opsi Make (Beli Server Fisik)</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Opsi Buy (Sewa Cloud GPU)</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Analisis Komparatif</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Biaya Tetap Awal (Fixed Cost)</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Rp 45.000.000 (Sangat Tinggi)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Rp 0 (Nol Investasi)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Buy unggul mutlak pada fase inisiasi.</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Biaya Operasional (per bulan)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Rp 500.000 / bulan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Rp 3.500.000 / bulan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Make lebih murah jika digunakan &gt; 15 bulan.</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Total Biaya untuk 4 Bulan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Rp 47.000.000</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Rp 14.000.000</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Buy menghemat Rp 33.000.000 (70,2%).</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Fleksibilitas &amp; Skalabilitas</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Kapasitas terkunci pada spesifikasi GPU tetap.</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Bebas upgrade instance GPU kapan saja sesuai kebutuhan.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Buy memberikan agilitas rekayasa data science.</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Rekomendasi Keputusan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DITOLAK</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DIPILIH (SEWA CLOUD)</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Pilihan optimal untuk durasi proyek akademik.</w:t>
            </w:r>
          </w:p>
        </w:tc>
      </w:tr>
    </w:tbl>
    <w:p>
      <w:pPr>
        <w:spacing w:before="0" w:after="120" w:line="276" w:lineRule="auto"/>
      </w:pPr>
    </w:p>
    <w:p>
      <w:pPr>
        <w:keepNext/>
        <w:spacing w:before="240" w:after="100" w:line="276" w:lineRule="auto"/>
      </w:pPr>
      <w:r>
        <w:rPr>
          <w:rFonts w:ascii="Times New Roman" w:hAnsi="Times New Roman"/>
          <w:b/>
          <w:color w:val="000000"/>
          <w:sz w:val="24"/>
        </w:rPr>
        <w:t>2. Pemetaan Pemangku Kepentingan (Stakeholder Mapping) Proyek PRE-02</w:t>
      </w:r>
    </w:p>
    <w:p>
      <w:pPr>
        <w:spacing w:before="0" w:after="120" w:line="360" w:lineRule="auto"/>
        <w:jc w:val="both"/>
      </w:pPr>
      <w:r>
        <w:rPr>
          <w:rFonts w:ascii="Times New Roman" w:hAnsi="Times New Roman"/>
          <w:b w:val="0"/>
          <w:color w:val="000000"/>
          <w:sz w:val="24"/>
        </w:rPr>
        <w:t>Berdasarkan analisis ruang lingkup dan lingkungan organisasi proyek riset PRE-02, diidentifikasi tujuh pemangku kepentingan kunci yang kemudian dipetakan ke dalam Power/Interest Grid 2 × 2:</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5"/>
        <w:gridCol w:w="1215"/>
        <w:gridCol w:w="1215"/>
        <w:gridCol w:w="1215"/>
        <w:gridCol w:w="1215"/>
        <w:gridCol w:w="1215"/>
        <w:gridCol w:w="1215"/>
      </w:tblGrid>
      <w:tr>
        <w:trPr>
          <w:tblHeader w:val="true"/>
          <w:cantSplit w:val="true"/>
        </w:trPr>
        <w:tc>
          <w:tcPr>
            <w:tcW w:type="dxa" w:w="121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ID</w:t>
            </w:r>
          </w:p>
        </w:tc>
        <w:tc>
          <w:tcPr>
            <w:tcW w:type="dxa" w:w="121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Nama / Peran Stakeholder</w:t>
            </w:r>
          </w:p>
        </w:tc>
        <w:tc>
          <w:tcPr>
            <w:tcW w:type="dxa" w:w="121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Posisi / Organisasi</w:t>
            </w:r>
          </w:p>
        </w:tc>
        <w:tc>
          <w:tcPr>
            <w:tcW w:type="dxa" w:w="121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Kekuasaan (Power)</w:t>
            </w:r>
          </w:p>
        </w:tc>
        <w:tc>
          <w:tcPr>
            <w:tcW w:type="dxa" w:w="121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Kepentingan (Interest)</w:t>
            </w:r>
          </w:p>
        </w:tc>
        <w:tc>
          <w:tcPr>
            <w:tcW w:type="dxa" w:w="121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Penempatan Kuadran</w:t>
            </w:r>
          </w:p>
        </w:tc>
        <w:tc>
          <w:tcPr>
            <w:tcW w:type="dxa" w:w="121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Strategi Utama Keterlibatan</w:t>
            </w:r>
          </w:p>
        </w:tc>
      </w:tr>
      <w:tr>
        <w:trPr>
          <w:cantSplit w:val="true"/>
        </w:trPr>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SH-01</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Dr. Muhammad Ainul Yaqin, M.Kom</w:t>
              <w:br/>
              <w:t>(Dosen Pengampu / Sponsor)</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Dosen Pengampu Mata Kuliah / Fakultas Saintek</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Tinggi</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Tinggi</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Kuadran I:</w:t>
              <w:br/>
              <w:t>Manage Closely</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Rapat asistensi berkala, pelaporan progres milestone LKM, dan konsultasi arah metodologi ML secara proaktif.</w:t>
            </w:r>
          </w:p>
        </w:tc>
      </w:tr>
      <w:tr>
        <w:trPr>
          <w:cantSplit w:val="true"/>
        </w:trPr>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SH-02</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Muhammad Nailul Ghufron Majid</w:t>
              <w:br/>
              <w:t>(Project Manager / ML Lead)</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Mahasiswa / Tim Pengembang Internal</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Tinggi</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Tinggi</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Kuadran I:</w:t>
              <w:br/>
              <w:t>Manage Closely</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Memimpin koordinasi harian, memantau baseline jadwal dan biaya, serta mengambil keputusan arsitektur teknis.</w:t>
            </w:r>
          </w:p>
        </w:tc>
      </w:tr>
      <w:tr>
        <w:trPr>
          <w:cantSplit w:val="true"/>
        </w:trPr>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SH-03</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Tim Pengembang Mahasiswa</w:t>
              <w:br/>
              <w:t>(Data Scientist &amp; Backend Dev)</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Anggota Tim Peneliti / Internal Kampus</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Tinggi</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Tinggi</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Kuadran I:</w:t>
              <w:br/>
              <w:t>Manage Closely</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Sprint meeting harian, peer code review di GitHub, dan penyelarasan kontrak interface API secara transparan.</w:t>
            </w:r>
          </w:p>
        </w:tc>
      </w:tr>
      <w:tr>
        <w:trPr>
          <w:cantSplit w:val="true"/>
        </w:trPr>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SH-04</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Ketua Program Studi Teknik Informatika</w:t>
              <w:br/>
              <w:t>(Pimpinan Akademik)</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Program Studi S1 TI UIN Malang</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Tinggi</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Rendah</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Kuadran II:</w:t>
              <w:br/>
              <w:t>Keep Satisfied</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Penyampaian laporan ringkasan mutu kurikulum, menjaga kepatuhan terhadap standar etika akademik kampus.</w:t>
            </w:r>
          </w:p>
        </w:tc>
      </w:tr>
      <w:tr>
        <w:trPr>
          <w:cantSplit w:val="true"/>
        </w:trPr>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SH-05</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Kepala Laboratorium Komputasi</w:t>
              <w:br/>
              <w:t>(Penyedia Fasilitas Lab)</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Unit Laboratorium Terpadu Fakultas</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Tinggi</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Rendah</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Kuadran II:</w:t>
              <w:br/>
              <w:t>Keep Satisfied</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Mematuhi SOP penggunaan jaringan kampus, mengamankan alokasi bandwidth, dan menjaga kebersihan sarana lab.</w:t>
            </w:r>
          </w:p>
        </w:tc>
      </w:tr>
      <w:tr>
        <w:trPr>
          <w:cantSplit w:val="true"/>
        </w:trPr>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SH-06</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Praktisi / Manajer Proyek TI Eksternal</w:t>
              <w:br/>
              <w:t>(Calon Pengguna Akhir)</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Industri Software House / Mitra Pengguna</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Rendah</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Tinggi</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Kuadran III:</w:t>
              <w:br/>
              <w:t>Keep Informed</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Sesi wawancara kebutuhan sistem peringatan dini, showcase demo prototipe, dan pengumpulan kuesioner kegunaan UI.</w:t>
            </w:r>
          </w:p>
        </w:tc>
      </w:tr>
      <w:tr>
        <w:trPr>
          <w:cantSplit w:val="true"/>
        </w:trPr>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SH-07</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Komunitas Open-Source Framework ML</w:t>
              <w:br/>
              <w:t>(Penyedia Library Scikit-Learn/ONNX)</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Ekosistem Komputasi Global Eksternal</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Rendah</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Rendah</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Kuadran IV:</w:t>
              <w:br/>
              <w:t>Monitor</w:t>
            </w:r>
          </w:p>
        </w:tc>
        <w:tc>
          <w:tcPr>
            <w:tcW w:type="dxa" w:w="121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Memantau pembaruan keamanan pustaka, bug fixes, dan dokumentasi API versi terbaru secara pasif di repositori.</w:t>
            </w:r>
          </w:p>
        </w:tc>
      </w:tr>
    </w:tbl>
    <w:p>
      <w:pPr>
        <w:spacing w:before="0" w:after="120" w:line="276" w:lineRule="auto"/>
      </w:pPr>
    </w:p>
    <w:p>
      <w:pPr>
        <w:keepNext/>
        <w:spacing w:before="160" w:after="80" w:line="276" w:lineRule="auto"/>
      </w:pPr>
      <w:r>
        <w:rPr>
          <w:rFonts w:ascii="Times New Roman" w:hAnsi="Times New Roman"/>
          <w:b/>
          <w:i/>
          <w:color w:val="000000"/>
          <w:sz w:val="24"/>
        </w:rPr>
        <w:t>b. Visualisasi Matriks Power/Interest Grid (2 × 2 Matrix)</w:t>
      </w:r>
    </w:p>
    <w:p>
      <w:pPr>
        <w:spacing w:before="0" w:after="120" w:line="360" w:lineRule="auto"/>
        <w:jc w:val="both"/>
      </w:pPr>
      <w:r>
        <w:rPr>
          <w:rFonts w:ascii="Times New Roman" w:hAnsi="Times New Roman"/>
          <w:b w:val="0"/>
          <w:color w:val="000000"/>
          <w:sz w:val="24"/>
        </w:rPr>
        <w:t>Berikut adalah sintesis pemetaan posisi masing-masing pemangku kepentingan ke dalam matriks kuadran 2 × 2:</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val="true"/>
        </w:trPr>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Dimensi Matriks</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Interest Rendah (Low Concern)</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Interest Tinggi (High Concern)</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Power Tinggi</w:t>
              <w:br/>
              <w:t>(High Authority)</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KUADRAN II: KEEP SATISFIED</w:t>
              <w:br/>
              <w:t>• SH-04: Ketua Program Studi TI</w:t>
              <w:br/>
              <w:t>• SH-05: Kepala Lab Komputasi Kampus</w:t>
              <w:br/>
              <w:t>Strategi: Laporan berkala tingkat tinggi, jaga kepatuhan SOP.</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KUADRAN I: MANAGE CLOSELY</w:t>
              <w:br/>
              <w:t>• SH-01: Dosen Pengampu (Dr. Ainul Yaqin)</w:t>
              <w:br/>
              <w:t>• SH-02: Project Manager / ML Lead</w:t>
              <w:br/>
              <w:t>• SH-03: Tim Pengembang Mahasiswa</w:t>
              <w:br/>
              <w:t>Strategi: Komunikasi intensif, kolaborasi aktif, rapat mingguan.</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Power Rendah</w:t>
              <w:br/>
              <w:t>(Low Authority)</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KUADRAN IV: MONITOR</w:t>
              <w:br/>
              <w:t>• SH-07: Komunitas Open-Source ML / Vendor</w:t>
              <w:br/>
              <w:t>Strategi: Pemantauan pasif melalui rilis informasi publik.</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KUADRAN III: KEEP INFORMED</w:t>
              <w:br/>
              <w:t>• SH-06: Praktisi Manajer Proyek Eksternal / User</w:t>
              <w:br/>
              <w:t>Strategi: Demonstrasi berkala, transparansi fitur, umpan balik.</w:t>
            </w:r>
          </w:p>
        </w:tc>
      </w:tr>
    </w:tbl>
    <w:p>
      <w:pPr>
        <w:spacing w:before="0" w:after="120" w:line="276" w:lineRule="auto"/>
      </w:pPr>
    </w:p>
    <w:p>
      <w:pPr>
        <w:keepNext/>
        <w:spacing w:before="320" w:after="180" w:line="276" w:lineRule="auto"/>
      </w:pPr>
      <w:r>
        <w:rPr>
          <w:rFonts w:ascii="Times New Roman" w:hAnsi="Times New Roman"/>
          <w:b/>
          <w:color w:val="000000"/>
          <w:sz w:val="28"/>
        </w:rPr>
        <w:t>C. REFLEKSI MANDIRI</w:t>
      </w:r>
    </w:p>
    <w:p>
      <w:pPr>
        <w:spacing w:before="0" w:after="120" w:line="360" w:lineRule="auto"/>
        <w:jc w:val="both"/>
      </w:pPr>
      <w:r>
        <w:rPr>
          <w:rFonts w:ascii="Times New Roman" w:hAnsi="Times New Roman"/>
          <w:b w:val="0"/>
          <w:color w:val="000000"/>
          <w:sz w:val="24"/>
        </w:rPr>
        <w:t>Bagian ini menyajikan perenungan kritis dan evaluasi personal mahasiswa terhadap konsep teoritis manajemen pengadaan dan manajemen pemangku kepentingan, serta refleksinya dalam mengawal keberhasilan proyek riset PRE-02 (Sistem Prediksi Probabilitas Keterlambatan Proyek Berbasis Machine Learning sebagai Early Warning System):</w:t>
      </w:r>
    </w:p>
    <w:p>
      <w:pPr>
        <w:keepNext/>
        <w:spacing w:before="240" w:after="100" w:line="276" w:lineRule="auto"/>
      </w:pPr>
      <w:r>
        <w:rPr>
          <w:rFonts w:ascii="Times New Roman" w:hAnsi="Times New Roman"/>
          <w:b/>
          <w:color w:val="000000"/>
          <w:sz w:val="24"/>
        </w:rPr>
        <w:t>1. Menurut Anda, mengapa pemangku kepentingan perlu diidentifikasi dan dikelola dengan baik sejak awal proyek, dan apa yang terjadi jika pemangku kepentingan diabaikan?</w:t>
      </w:r>
    </w:p>
    <w:p>
      <w:pPr>
        <w:spacing w:before="0" w:after="120" w:line="360" w:lineRule="auto"/>
        <w:jc w:val="both"/>
      </w:pPr>
      <w:r>
        <w:rPr>
          <w:rFonts w:ascii="Times New Roman" w:hAnsi="Times New Roman"/>
          <w:b w:val="0"/>
          <w:color w:val="000000"/>
          <w:sz w:val="24"/>
        </w:rPr>
        <w:t>Identifikasi dan pelibatan pemangku kepentingan (stakeholder engagement) sejak fase inisiasi awal adalah penentu paling fundamental dari kesuksesan proyek. Keberhasilan proyek tidak hanya diukur dari terselesaikannya kode program atau pemenuhan jadwal semata, melainkan dari tercapainya kepuasan pemangku kepentingan (stakeholder satisfaction) dan penerimaan mereka terhadap hasil akhir sistem.</w:t>
      </w:r>
    </w:p>
    <w:p>
      <w:pPr>
        <w:spacing w:before="0" w:after="120" w:line="360" w:lineRule="auto"/>
        <w:jc w:val="both"/>
      </w:pPr>
      <w:r>
        <w:rPr>
          <w:rFonts w:ascii="Times New Roman" w:hAnsi="Times New Roman"/>
          <w:b w:val="0"/>
          <w:color w:val="000000"/>
          <w:sz w:val="24"/>
        </w:rPr>
        <w:t>Jika pemangku kepentingan diabaikan atau terlambat diidentifikasi, proyek akan menghadapi konsekuensi destruktif berikut: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Penolakan Deliverables Akhir (Late Rejection):</w:t>
      </w:r>
      <w:r>
        <w:rPr>
          <w:rFonts w:ascii="Times New Roman" w:hAnsi="Times New Roman"/>
          <w:b w:val="0"/>
          <w:sz w:val="24"/>
        </w:rPr>
        <w:t xml:space="preserve"> Ketika pemangku kepentingan kunci (seperti Dosen Pengampu atau calon pengguna) baru dimintai masukan di akhir, sering kali ditemukan bahwa asumsi yang dibangun tim tidak sesuai dengan ekspektasi mereka, memicu penolakan hasil karya dan keharusan mengulang pekerjaan (massive rework).</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Munculnya Resistensi Aktif:</w:t>
      </w:r>
      <w:r>
        <w:rPr>
          <w:rFonts w:ascii="Times New Roman" w:hAnsi="Times New Roman"/>
          <w:b w:val="0"/>
          <w:sz w:val="24"/>
        </w:rPr>
        <w:t xml:space="preserve"> Stakeholder yang merasa tidak dilibatkan atau aspirasinya diabaikan dapat berubah menjadi penentang aktif (resistant stakeholders) yang menghambat akses fasilitas, memotong dukungan anggaran, atau menciptakan opini negatif terhadap kelayakan proyek.</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Perubahan Ruang Lingkup Liar (Scope Creep):</w:t>
      </w:r>
      <w:r>
        <w:rPr>
          <w:rFonts w:ascii="Times New Roman" w:hAnsi="Times New Roman"/>
          <w:b w:val="0"/>
          <w:sz w:val="24"/>
        </w:rPr>
        <w:t xml:space="preserve"> Kebutuhan tersembunyi yang baru terungkap di tengah jalan akan memaksa perubahan desain mendadak yang merusak baseline jadwal dan biaya.</w:t>
      </w:r>
    </w:p>
    <w:p>
      <w:pPr>
        <w:keepNext/>
        <w:spacing w:before="240" w:after="100" w:line="276" w:lineRule="auto"/>
      </w:pPr>
      <w:r>
        <w:rPr>
          <w:rFonts w:ascii="Times New Roman" w:hAnsi="Times New Roman"/>
          <w:b/>
          <w:color w:val="000000"/>
          <w:sz w:val="24"/>
        </w:rPr>
        <w:t>2. Dari pengalaman Anda dalam proyek kelompok, kesalahan umum apa yang sering terjadi dalam mengelola pemangku kepentingan dan bagaimana cara menghindarinya?</w:t>
      </w:r>
    </w:p>
    <w:p>
      <w:pPr>
        <w:spacing w:before="0" w:after="120" w:line="360" w:lineRule="auto"/>
        <w:jc w:val="both"/>
      </w:pPr>
      <w:r>
        <w:rPr>
          <w:rFonts w:ascii="Times New Roman" w:hAnsi="Times New Roman"/>
          <w:b w:val="0"/>
          <w:color w:val="000000"/>
          <w:sz w:val="24"/>
        </w:rPr>
        <w:t>Berdasarkan refleksi perjalanan pengerjaan proyek riset kelompok PRE-02, kesalahan umum yang paling sering terjadi mencakup:</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Memperlakukan Seluruh Pemangku Kepentingan Secara Seragam (One-Size-Fits-All Approach): Tim sering kali mengirimkan pesan teknis mendalam yang sama kepada semua pihak. Misalnya mengirimkan log parameter kalibrasi model matematika kepada pihak manajemen yang sebenarnya hanya membutuhkan ringkasan status kelayakan proyek. Cara Menghindarinya: Mengklasifikasikan komunikasi berdasarkan kuadran Power/Interest Grid, di mana pihak eksekutif menerima ringkasan eksekutif dan tim teknis menerima detail implementasi.</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Komunikasi Satu Arah Tanpa Mendengarkan (The Illusion of Engagement): Manajer proyek hanya fokus menyampaikan apa yang telah dikerjakan tanpa secara aktif menggali umpan balik dan kekhawatiran yang dirasakan anggota tim lain. Cara Menghindarinya: Menerapkan active listening dan menyediakan sesi refleksi terbuka di akhir setiap sprint.</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Mengabaikan Pemangku Kepentingan Berdaya Rendah namun Berkepentingan Tinggi (Kuadran III): Menganggap enteng calon pengguna akhir karena mereka tidak memiliki kuasa formal atas nilai akademik. Cara Menghindarinya: Secara berkala melibatkan mereka dalam uji coba prototipe antarmuka early warning agar sistem benar-benar intuitif dan bermanfaat.</w:t>
      </w:r>
    </w:p>
    <w:p>
      <w:pPr>
        <w:keepNext/>
        <w:spacing w:before="240" w:after="100" w:line="276" w:lineRule="auto"/>
      </w:pPr>
      <w:r>
        <w:rPr>
          <w:rFonts w:ascii="Times New Roman" w:hAnsi="Times New Roman"/>
          <w:b/>
          <w:color w:val="000000"/>
          <w:sz w:val="24"/>
        </w:rPr>
        <w:t>3. Menurut Anda, mengapa pengadaan proyek sering menjadi sumber risiko dan konflik dalam proyek, dan bagaimana manajer proyek dapat meminimalkan risiko tersebut?</w:t>
      </w:r>
    </w:p>
    <w:p>
      <w:pPr>
        <w:spacing w:before="0" w:after="120" w:line="360" w:lineRule="auto"/>
        <w:jc w:val="both"/>
      </w:pPr>
      <w:r>
        <w:rPr>
          <w:rFonts w:ascii="Times New Roman" w:hAnsi="Times New Roman"/>
          <w:b w:val="0"/>
          <w:color w:val="000000"/>
          <w:sz w:val="24"/>
        </w:rPr>
        <w:t>Pengadaan proyek sering kali menjadi episentrum risiko dan konflik terbesar karena melibatkan dua entitas organisasi yang berbeda dengan motivasi dan tujuan bisnis yang saling bertentangan secara inheren: Pembeli (Buyer) menginginkan ruang lingkup sebesar mungkin dengan biaya serendah mungkin, sementara Penjual (Seller) berusaha meminimalkan biaya kerja mereka untuk memaksimalkan margin laba finansial.</w:t>
      </w:r>
    </w:p>
    <w:p>
      <w:pPr>
        <w:spacing w:before="0" w:after="120" w:line="360" w:lineRule="auto"/>
        <w:jc w:val="both"/>
      </w:pPr>
      <w:r>
        <w:rPr>
          <w:rFonts w:ascii="Times New Roman" w:hAnsi="Times New Roman"/>
          <w:b w:val="0"/>
          <w:color w:val="000000"/>
          <w:sz w:val="24"/>
        </w:rPr>
        <w:t>Faktor-Faktor Pemicu Konflik Pengadaan: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Ambiguitas Pernyataan Kerja (Vague SOW):</w:t>
      </w:r>
      <w:r>
        <w:rPr>
          <w:rFonts w:ascii="Times New Roman" w:hAnsi="Times New Roman"/>
          <w:b w:val="0"/>
          <w:sz w:val="24"/>
        </w:rPr>
        <w:t xml:space="preserve"> Spesifikasi kebutuhan yang tidak jelas atau multitafsir memicu sengketa apakah suatu fitur termasuk dalam kontrak atau harus dibayar ekstra sebagai change order.</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Ketergantungan Eksternal (Loss of Direct Control):</w:t>
      </w:r>
      <w:r>
        <w:rPr>
          <w:rFonts w:ascii="Times New Roman" w:hAnsi="Times New Roman"/>
          <w:b w:val="0"/>
          <w:sz w:val="24"/>
        </w:rPr>
        <w:t xml:space="preserve"> Manajer proyek kehilangan kendali langsung atas prioritas kerja tim vendor pihak ketiga, sehingga keterlambatan vendor langsung berdampak fatal pada jalur kritis proyek.</w:t>
      </w:r>
    </w:p>
    <w:p>
      <w:pPr>
        <w:spacing w:before="0" w:after="120" w:line="360" w:lineRule="auto"/>
        <w:jc w:val="both"/>
      </w:pPr>
      <w:r>
        <w:rPr>
          <w:rFonts w:ascii="Times New Roman" w:hAnsi="Times New Roman"/>
          <w:b w:val="0"/>
          <w:color w:val="000000"/>
          <w:sz w:val="24"/>
        </w:rPr>
        <w:t>Strategi Manajer Proyek Meminimalkan Risiko Tersebut:</w:t>
        <w:br/>
        <w:t>1. Menyusun Procurement SOW yang Sangat Rinci dan Kriteria Penerimaan Terukur (Clear Acceptance Criteria).</w:t>
        <w:br/>
        <w:t>2. Memilih Jenis Kontrak yang Tepat dan Seimbang (misalnya FPIF dengan insentif ketepatan waktu untuk menyelaraskan kepentingan).</w:t>
        <w:br/>
        <w:t>3. Menetapkan Mekanisme Pengendalian Perubahan Kontrak yang Ketat (Formal Change Control System) dan Service Level Agreement (SLA) berpenalti.</w:t>
        <w:br/>
        <w:t>4. Menjalin Komunikasi Kolaboratif dan Pemantauan Kinerja Berkala (Vendor Performance Reviews) secara transparan.</w:t>
      </w:r>
    </w:p>
    <w:p>
      <w:pPr>
        <w:keepNext/>
        <w:spacing w:before="240" w:after="100" w:line="276" w:lineRule="auto"/>
      </w:pPr>
      <w:r>
        <w:rPr>
          <w:rFonts w:ascii="Times New Roman" w:hAnsi="Times New Roman"/>
          <w:b/>
          <w:color w:val="000000"/>
          <w:sz w:val="24"/>
        </w:rPr>
        <w:t>4. Bagaimana Anda akan menggunakan Power/Interest Grid untuk menentukan strategi komunikasi yang berbeda untuk berbagai pemangku kepentingan dalam proyek kelompok Anda?</w:t>
      </w:r>
    </w:p>
    <w:p>
      <w:pPr>
        <w:spacing w:before="0" w:after="120" w:line="360" w:lineRule="auto"/>
        <w:jc w:val="both"/>
      </w:pPr>
      <w:r>
        <w:rPr>
          <w:rFonts w:ascii="Times New Roman" w:hAnsi="Times New Roman"/>
          <w:b w:val="0"/>
          <w:color w:val="000000"/>
          <w:sz w:val="24"/>
        </w:rPr>
        <w:t>Dalam proyek riset PRE-02, saya memanfaatkan Power/Interest Grid sebagai kompas navigasi distribusi informasi guna memastikan efisiensi bandwidth komunikasi dan tercapainya kepuasan seluruh pihak:</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Untuk Kuadran I (Dosen Pengampu / Sponsor - Manage Closely): Saya menerapkan komunikasi interaktif dua arah dengan frekuensi tinggi. Memberikan laporan kemajuan pencapaian milestone mingguan, meminta masukan metodologi kalibrasi probabilitas, dan mendiskusikan hambatan kritis segera tanpa menunggu batas pengumpulan tugas akhir.</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Untuk Kuadran II (Ketua Jurusan / Kepala Lab - Keep Satisfied): Menerapkan komunikasi formal ringkas melalui email atau memo resmi bulanan. Memastikan kepatuhan terhadap aturan laboratorium komputasi kampus tanpa membebani mereka dengan detail perdebatan algoritma internal.</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Untuk Kuadran III (Calon Pengguna Manajer Proyek Eksternal - Keep Informed): Menerapkan komunikasi dorong (push) dan tarik (pull) melalui dokumentasi GitHub dan sesi demonstrasi prototipe berkala. Memberikan pembaruan visual tentang cara kerja sistem peringatan dini dan menampung masukan pengalaman pengguna (user feedback).</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Untuk Kuadran IV (Komunitas Pengembang Open-Source - Monitor): Menerapkan pemantauan pasif melalui penelusuran repositori pembaruan pustaka software tanpa memerlukan aktivitas komunikasi keluar aktif.</w:t>
      </w:r>
    </w:p>
    <w:p>
      <w:pPr>
        <w:keepNext/>
        <w:spacing w:before="240" w:after="100" w:line="276" w:lineRule="auto"/>
      </w:pPr>
      <w:r>
        <w:rPr>
          <w:rFonts w:ascii="Times New Roman" w:hAnsi="Times New Roman"/>
          <w:b/>
          <w:color w:val="000000"/>
          <w:sz w:val="24"/>
        </w:rPr>
        <w:t>5. Menurut Anda, jenis kontrak apa yang paling sesuai jika proyek kelompok Anda memerlukan pengadaan barang atau jasa, dan mengapa?</w:t>
      </w:r>
    </w:p>
    <w:p>
      <w:pPr>
        <w:spacing w:before="0" w:after="120" w:line="360" w:lineRule="auto"/>
        <w:jc w:val="both"/>
      </w:pPr>
      <w:r>
        <w:rPr>
          <w:rFonts w:ascii="Times New Roman" w:hAnsi="Times New Roman"/>
          <w:b w:val="0"/>
          <w:color w:val="000000"/>
          <w:sz w:val="24"/>
        </w:rPr>
        <w:t>Jika proyek kelompok PRE-02 memerlukan pengadaan barang atau jasa dari pihak ketiga, jenis kontrak yang paling tepat dibagi berdasarkan dua kategori kebutuhan spesifik:</w:t>
      </w:r>
    </w:p>
    <w:p>
      <w:pPr>
        <w:keepNext/>
        <w:spacing w:before="160" w:after="80" w:line="276" w:lineRule="auto"/>
      </w:pPr>
      <w:r>
        <w:rPr>
          <w:rFonts w:ascii="Times New Roman" w:hAnsi="Times New Roman"/>
          <w:b/>
          <w:i/>
          <w:color w:val="000000"/>
          <w:sz w:val="24"/>
        </w:rPr>
        <w:t>a. Pengadaan Layanan Infrastruktur Komputasi Cloud (Compute Cloud / GPU): Kontrak Fixed Price (Subscription FP)</w:t>
      </w:r>
    </w:p>
    <w:p>
      <w:pPr>
        <w:spacing w:before="0" w:after="120" w:line="360" w:lineRule="auto"/>
        <w:jc w:val="both"/>
      </w:pPr>
      <w:r>
        <w:rPr>
          <w:rFonts w:ascii="Times New Roman" w:hAnsi="Times New Roman"/>
          <w:b w:val="0"/>
          <w:color w:val="000000"/>
          <w:sz w:val="24"/>
        </w:rPr>
        <w:t>Untuk pengadaan sewa server GPU pelatihan model Machine Learning, kontrak Fixed Price berbasis langganan bulanan (atau Fixed Price per Compute Hour dengan batas saldo tetap) adalah opsi terbaik. Karakteristik layanan cloud memiliki spesifikasi yang sangat terdefinisi (RAM, vCPU, GPU Memory) dan harga tetap per jam/bulan yang transparan. Kontrak ini memberikan kepastian biaya mutlak bagi anggaran mahasiswa dan memindahkan risiko pemeliharaan server fisik sepenuhnya kepada penyedia cloud.</w:t>
      </w:r>
    </w:p>
    <w:p>
      <w:pPr>
        <w:keepNext/>
        <w:spacing w:before="160" w:after="80" w:line="276" w:lineRule="auto"/>
      </w:pPr>
      <w:r>
        <w:rPr>
          <w:rFonts w:ascii="Times New Roman" w:hAnsi="Times New Roman"/>
          <w:b/>
          <w:i/>
          <w:color w:val="000000"/>
          <w:sz w:val="24"/>
        </w:rPr>
        <w:t>b. Pengadaan Jasa Bantuan Konsultasi Teknis Spesialis (Expert Consulting): Kontrak Time and Material (T&amp;M) dengan Batas Not-To-Exceed</w:t>
      </w:r>
    </w:p>
    <w:p>
      <w:pPr>
        <w:spacing w:before="0" w:after="120" w:line="360" w:lineRule="auto"/>
        <w:jc w:val="both"/>
      </w:pPr>
      <w:r>
        <w:rPr>
          <w:rFonts w:ascii="Times New Roman" w:hAnsi="Times New Roman"/>
          <w:b w:val="0"/>
          <w:color w:val="000000"/>
          <w:sz w:val="24"/>
        </w:rPr>
        <w:t>Jika tim membutuhkan bantuan konsultasi ahli luar untuk audit keamanan API atau konfigurasi deployment containerization, kontrak Time and Material (T&amp;M) berdurasi pendek (misal: paket 15 jam konsultasi dengan klausul Not-To-Exceed) adalah yang paling fleksibel. Ruang lingkup konsultasi sering kali tidak dapat dipatok secara kaku di awal, dan klausul Not-To-Exceed melindungi tim dari risiko pembengkakan jam tagihan melebihi kemampuan anggaran proyek mahasiswa.</w:t>
      </w:r>
    </w:p>
    <w:p>
      <w:pPr>
        <w:keepNext/>
        <w:spacing w:before="320" w:after="180" w:line="276" w:lineRule="auto"/>
      </w:pPr>
      <w:r>
        <w:rPr>
          <w:rFonts w:ascii="Times New Roman" w:hAnsi="Times New Roman"/>
          <w:b/>
          <w:color w:val="000000"/>
          <w:sz w:val="28"/>
        </w:rPr>
        <w:t>D. DAFTAR PUSTAKA KHUSUS PERTEMUAN 13</w:t>
      </w:r>
    </w:p>
    <w:p>
      <w:pPr>
        <w:spacing w:before="0" w:after="120" w:line="360" w:lineRule="auto"/>
        <w:jc w:val="both"/>
      </w:pPr>
      <w:r>
        <w:rPr>
          <w:rFonts w:ascii="Times New Roman" w:hAnsi="Times New Roman"/>
          <w:b w:val="0"/>
          <w:color w:val="000000"/>
          <w:sz w:val="24"/>
        </w:rPr>
        <w:t>Daftar pustaka ini memuat seluruh literatur acuan akademis, standar manajemen proyek internasional PMI, buku teks hukum kontrak pengadaan, serta teori pemangku kepentingan strategis yang digunakan dalam penyusunan Lembar Kerja Mahasiswa (LKM) Pertemuan 13 mengikuti format baku APA 7th Edition (American Psychological Association):</w:t>
      </w:r>
    </w:p>
    <w:p>
      <w:pPr>
        <w:spacing w:after="160" w:line="276" w:lineRule="auto"/>
        <w:ind w:hanging="720" w:left="720"/>
        <w:jc w:val="both"/>
      </w:pPr>
      <w:r>
        <w:rPr>
          <w:rFonts w:ascii="Times New Roman" w:hAnsi="Times New Roman"/>
          <w:sz w:val="24"/>
        </w:rPr>
        <w:t>Freeman, R. E. (1984). Strategic Management: A Stakeholder Approach. Boston, MA: Pitman Publishing.</w:t>
      </w:r>
    </w:p>
    <w:p>
      <w:pPr>
        <w:spacing w:after="160" w:line="276" w:lineRule="auto"/>
        <w:ind w:hanging="720" w:left="720"/>
        <w:jc w:val="both"/>
      </w:pPr>
      <w:r>
        <w:rPr>
          <w:rFonts w:ascii="Times New Roman" w:hAnsi="Times New Roman"/>
          <w:sz w:val="24"/>
        </w:rPr>
        <w:t>Kerzner, H. (2017). Project Management: A Systems Approach to Planning, Scheduling, and Controlling (12th ed.). Hoboken, NJ: John Wiley &amp; Sons.</w:t>
      </w:r>
    </w:p>
    <w:p>
      <w:pPr>
        <w:spacing w:after="160" w:line="276" w:lineRule="auto"/>
        <w:ind w:hanging="720" w:left="720"/>
        <w:jc w:val="both"/>
      </w:pPr>
      <w:r>
        <w:rPr>
          <w:rFonts w:ascii="Times New Roman" w:hAnsi="Times New Roman"/>
          <w:sz w:val="24"/>
        </w:rPr>
        <w:t>Larson, E. W., &amp; Gray, C. F. (2021). Project Management: The Managerial Process (8th ed.). New York, NY: McGraw-Hill Education.</w:t>
      </w:r>
    </w:p>
    <w:p>
      <w:pPr>
        <w:spacing w:after="160" w:line="276" w:lineRule="auto"/>
        <w:ind w:hanging="720" w:left="720"/>
        <w:jc w:val="both"/>
      </w:pPr>
      <w:r>
        <w:rPr>
          <w:rFonts w:ascii="Times New Roman" w:hAnsi="Times New Roman"/>
          <w:sz w:val="24"/>
        </w:rPr>
        <w:t>Mendelow, A. L. (1981). Environmental scanning: The impact of the stakeholder concept. In Proceedings of the Second International Conference on Information Systems (pp. 407–418). Cambridge, MA: Society for Information Management.</w:t>
      </w:r>
    </w:p>
    <w:p>
      <w:pPr>
        <w:spacing w:after="160" w:line="276" w:lineRule="auto"/>
        <w:ind w:hanging="720" w:left="720"/>
        <w:jc w:val="both"/>
      </w:pPr>
      <w:r>
        <w:rPr>
          <w:rFonts w:ascii="Times New Roman" w:hAnsi="Times New Roman"/>
          <w:sz w:val="24"/>
        </w:rPr>
        <w:t>Mitchell, R. K., Agle, B. R., &amp; Wood, D. J. (1997). Toward a theory of stakeholder identification and salience: Defining the principle of who and what really counts. Academy of Management Review, 22(4), 853–886. https://doi.org/10.5465/amr.1997.9711022105</w:t>
      </w:r>
    </w:p>
    <w:p>
      <w:pPr>
        <w:spacing w:after="160" w:line="276" w:lineRule="auto"/>
        <w:ind w:hanging="720" w:left="720"/>
        <w:jc w:val="both"/>
      </w:pPr>
      <w:r>
        <w:rPr>
          <w:rFonts w:ascii="Times New Roman" w:hAnsi="Times New Roman"/>
          <w:sz w:val="24"/>
        </w:rPr>
        <w:t>Project Management Institute. (2017). A Guide to the Project Management Body of Knowledge (PMBOK® Guide) (6th ed.). Newtown Square, PA: Project Management Institute, Inc.</w:t>
      </w:r>
    </w:p>
    <w:p>
      <w:pPr>
        <w:spacing w:after="160" w:line="276" w:lineRule="auto"/>
        <w:ind w:hanging="720" w:left="720"/>
        <w:jc w:val="both"/>
      </w:pPr>
      <w:r>
        <w:rPr>
          <w:rFonts w:ascii="Times New Roman" w:hAnsi="Times New Roman"/>
          <w:sz w:val="24"/>
        </w:rPr>
        <w:t>Schwalbe, K. (2019). Information Technology Project Management (9th ed.). Boston, MA: Cengage Learning.</w:t>
      </w:r>
    </w:p>
    <w:p>
      <w:pPr>
        <w:spacing w:after="160" w:line="276" w:lineRule="auto"/>
        <w:ind w:hanging="720" w:left="720"/>
        <w:jc w:val="both"/>
      </w:pPr>
      <w:r>
        <w:rPr>
          <w:rFonts w:ascii="Times New Roman" w:hAnsi="Times New Roman"/>
          <w:sz w:val="24"/>
        </w:rPr>
        <w:t>Turner, J. R. (2003). Contracting for Project Management. Aldershot, UK: Gower Publishing.</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