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7: MANAJEMEN BIAYA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manajemen biaya proyek dan mengapa area pengetahuan ini penting dalam keberhasilan proyek?</w:t>
      </w:r>
    </w:p>
    <w:p>
      <w:pPr>
        <w:spacing w:before="0" w:after="120" w:line="360" w:lineRule="auto"/>
        <w:jc w:val="both"/>
      </w:pPr>
      <w:r>
        <w:rPr>
          <w:rFonts w:ascii="Times New Roman" w:hAnsi="Times New Roman"/>
          <w:b w:val="0"/>
          <w:color w:val="000000"/>
          <w:sz w:val="24"/>
        </w:rPr>
        <w:t>Manajemen Biaya Proyek (Project Cost Management) mencakup serangkaian proses yang diperlukan untuk merencanakan, mengestimasi, menganggarkan, mendanai, mengatur, serta mengendalikan biaya agar proyek dapat diselesaikan dalam batas anggaran yang telah disetujui (PMBOK Guide 6th Ed). Area pengetahuan ini tidak hanya berfokus pada biaya tahap eksekusi, melainkan keseluruhan siklus hidup produk, termasuk biaya operasi dan pemeliharaan (life-cycle costing).</w:t>
      </w:r>
    </w:p>
    <w:p>
      <w:pPr>
        <w:spacing w:before="0" w:after="120" w:line="360" w:lineRule="auto"/>
        <w:jc w:val="both"/>
      </w:pPr>
      <w:r>
        <w:rPr>
          <w:rFonts w:ascii="Times New Roman" w:hAnsi="Times New Roman"/>
          <w:b w:val="0"/>
          <w:color w:val="000000"/>
          <w:sz w:val="24"/>
        </w:rPr>
        <w:t>Manajemen biaya sangat krusial dalam keberhasilan proyek karena tiga alasan utama: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Mencegah Overbudget (Pembengkakan Biaya):</w:t>
      </w:r>
      <w:r>
        <w:rPr>
          <w:rFonts w:ascii="Times New Roman" w:hAnsi="Times New Roman"/>
          <w:b w:val="0"/>
          <w:sz w:val="24"/>
        </w:rPr>
        <w:t xml:space="preserve"> Proyek TI seringkali mengalami cost overrun karena under-estimation beban kerja. Manajemen biaya memberikan instrumen pengendalian untuk memastikan pendanaan tidak melebihi kesepakatan.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Menjamin Return on Investment (ROI):</w:t>
      </w:r>
      <w:r>
        <w:rPr>
          <w:rFonts w:ascii="Times New Roman" w:hAnsi="Times New Roman"/>
          <w:b w:val="0"/>
          <w:sz w:val="24"/>
        </w:rPr>
        <w:t xml:space="preserve"> Dengan mengelola pengeluaran dan memastikan cost benefit analysis tercapai, kelayakan finansial dari produk/layanan (seperti pada proyek PRE-02) dapat dipertahankan.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Menjadi Tolok Ukur Kinerja:</w:t>
      </w:r>
      <w:r>
        <w:rPr>
          <w:rFonts w:ascii="Times New Roman" w:hAnsi="Times New Roman"/>
          <w:b w:val="0"/>
          <w:sz w:val="24"/>
        </w:rPr>
        <w:t xml:space="preserve"> Biaya adalah salah satu sisi dari segitiga manajemen proyek (Iron Triangle). Pengendalian biaya yang baik berfungsi sebagai metrik evaluasi kesehatan dan stabilitas proses pengerjaan proyek secara objektif.</w:t>
      </w:r>
    </w:p>
    <w:p>
      <w:pPr>
        <w:keepNext/>
        <w:spacing w:before="240" w:after="100" w:line="276" w:lineRule="auto"/>
      </w:pPr>
      <w:r>
        <w:rPr>
          <w:rFonts w:ascii="Times New Roman" w:hAnsi="Times New Roman"/>
          <w:b/>
          <w:color w:val="000000"/>
          <w:sz w:val="24"/>
        </w:rPr>
        <w:t>2. Sebutkan dan jelaskan secara singkat empat proses dalam manajemen biaya proyek!</w:t>
      </w:r>
    </w:p>
    <w:p>
      <w:pPr>
        <w:spacing w:before="0" w:after="120" w:line="360" w:lineRule="auto"/>
        <w:jc w:val="both"/>
      </w:pPr>
      <w:r>
        <w:rPr>
          <w:rFonts w:ascii="Times New Roman" w:hAnsi="Times New Roman"/>
          <w:b w:val="0"/>
          <w:color w:val="000000"/>
          <w:sz w:val="24"/>
        </w:rPr>
        <w:t>Menurut kerangka PMBOK 6th Edition, manajemen biaya proyek terdiri dari empat proses yang terstruktur:</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Plan Cost Management (Merencanakan Manajemen Biaya)</w:t>
      </w:r>
    </w:p>
    <w:p>
      <w:pPr>
        <w:spacing w:before="0" w:after="120" w:line="360" w:lineRule="auto"/>
        <w:jc w:val="both"/>
      </w:pPr>
      <w:r>
        <w:rPr>
          <w:rFonts w:ascii="Times New Roman" w:hAnsi="Times New Roman"/>
          <w:b w:val="0"/>
          <w:color w:val="000000"/>
          <w:sz w:val="24"/>
        </w:rPr>
        <w:t>Proses menetapkan kebijakan, prosedur, dan panduan untuk perencanaan, pengelolaan, pengeluaran, dan pengendalian biaya proyek. Hasilnya adalah Cost Management Plan.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Estimate Costs (Mengestimasi Biaya)</w:t>
      </w:r>
    </w:p>
    <w:p>
      <w:pPr>
        <w:spacing w:before="0" w:after="120" w:line="360" w:lineRule="auto"/>
        <w:jc w:val="both"/>
      </w:pPr>
      <w:r>
        <w:rPr>
          <w:rFonts w:ascii="Times New Roman" w:hAnsi="Times New Roman"/>
          <w:b w:val="0"/>
          <w:color w:val="000000"/>
          <w:sz w:val="24"/>
        </w:rPr>
        <w:t>Proses pengembangan perkiraan nilai sumber daya moneter yang dibutuhkan untuk menyelesaikan seluruh pekerjaan proyek, seperti biaya server AWS, tarif per-jam programmer, dsb.</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Determine Budget (Menentukan Anggaran)</w:t>
      </w:r>
    </w:p>
    <w:p>
      <w:pPr>
        <w:spacing w:before="0" w:after="120" w:line="360" w:lineRule="auto"/>
        <w:jc w:val="both"/>
      </w:pPr>
      <w:r>
        <w:rPr>
          <w:rFonts w:ascii="Times New Roman" w:hAnsi="Times New Roman"/>
          <w:b w:val="0"/>
          <w:color w:val="000000"/>
          <w:sz w:val="24"/>
        </w:rPr>
        <w:t>Proses agregasi (penggabungan) dari seluruh estimasi biaya masing-masing aktivitas atau paket kerja (Work Package) untuk menetapkan Cost Baseline (tolok ukur biaya yang sah).</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Control Costs (Mengendalikan Biaya)</w:t>
      </w:r>
    </w:p>
    <w:p>
      <w:pPr>
        <w:spacing w:before="0" w:after="120" w:line="360" w:lineRule="auto"/>
        <w:jc w:val="both"/>
      </w:pPr>
      <w:r>
        <w:rPr>
          <w:rFonts w:ascii="Times New Roman" w:hAnsi="Times New Roman"/>
          <w:b w:val="0"/>
          <w:color w:val="000000"/>
          <w:sz w:val="24"/>
        </w:rPr>
        <w:t>Proses pemantauan status proyek untuk memutakhirkan anggaran serta mengelola perubahan pada baseline biaya. Pengendalian ini sering diimplementasikan dengan metode Earned Value Management (EVM).</w:t>
      </w:r>
    </w:p>
    <w:p>
      <w:pPr>
        <w:keepNext/>
        <w:spacing w:before="240" w:after="100" w:line="276" w:lineRule="auto"/>
      </w:pPr>
      <w:r>
        <w:rPr>
          <w:rFonts w:ascii="Times New Roman" w:hAnsi="Times New Roman"/>
          <w:b/>
          <w:color w:val="000000"/>
          <w:sz w:val="24"/>
        </w:rPr>
        <w:t>3. Sebutkan dan jelaskan empat teknik estimasi biaya beserta kelebihan dan kekurangannya!</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Analogous Estimating (Estimasi Analog)</w:t>
      </w:r>
    </w:p>
    <w:p>
      <w:pPr>
        <w:spacing w:before="0" w:after="120" w:line="360" w:lineRule="auto"/>
        <w:jc w:val="both"/>
      </w:pPr>
      <w:r>
        <w:rPr>
          <w:rFonts w:ascii="Times New Roman" w:hAnsi="Times New Roman"/>
          <w:b w:val="0"/>
          <w:color w:val="000000"/>
          <w:sz w:val="24"/>
        </w:rPr>
        <w:t>Menggunakan data historis dari proyek serupa sebelumnya (misalnya estimasi biaya PRE-01 digunakan untuk PRE-02).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Kelebihan:</w:t>
      </w:r>
      <w:r>
        <w:rPr>
          <w:rFonts w:ascii="Times New Roman" w:hAnsi="Times New Roman"/>
          <w:b w:val="0"/>
          <w:sz w:val="24"/>
        </w:rPr>
        <w:t xml:space="preserve"> Cepat, murah, dan dapat digunakan saat informasi rinci masih minim di awal proyek.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Kekurangan:</w:t>
      </w:r>
      <w:r>
        <w:rPr>
          <w:rFonts w:ascii="Times New Roman" w:hAnsi="Times New Roman"/>
          <w:b w:val="0"/>
          <w:sz w:val="24"/>
        </w:rPr>
        <w:t xml:space="preserve"> Tingkat akurasi paling rendah karena tiap proyek memiliki tingkat keunikan dan kompleksitas berbeda.</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Parametric Estimating (Estimasi Parametrik)</w:t>
      </w:r>
    </w:p>
    <w:p>
      <w:pPr>
        <w:spacing w:before="0" w:after="120" w:line="360" w:lineRule="auto"/>
        <w:jc w:val="both"/>
      </w:pPr>
      <w:r>
        <w:rPr>
          <w:rFonts w:ascii="Times New Roman" w:hAnsi="Times New Roman"/>
          <w:b w:val="0"/>
          <w:color w:val="000000"/>
          <w:sz w:val="24"/>
        </w:rPr>
        <w:t>Menggunakan hubungan statistik antara data historis dan variabel lain (parameter), seperti biaya pembuatan 1 API endpoint = Rp 500.000, maka 10 API = Rp 5.000.000.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Kelebihan:</w:t>
      </w:r>
      <w:r>
        <w:rPr>
          <w:rFonts w:ascii="Times New Roman" w:hAnsi="Times New Roman"/>
          <w:b w:val="0"/>
          <w:sz w:val="24"/>
        </w:rPr>
        <w:t xml:space="preserve"> Lebih akurat dari analogous, dapat diskalakan sesuai kuantitas atau ukuran parameter.</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Kekurangan:</w:t>
      </w:r>
      <w:r>
        <w:rPr>
          <w:rFonts w:ascii="Times New Roman" w:hAnsi="Times New Roman"/>
          <w:b w:val="0"/>
          <w:sz w:val="24"/>
        </w:rPr>
        <w:t xml:space="preserve"> Hanya efektif jika model parametrik yang mendasarinya valid dan data terukur dengan jelas.</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Bottom-Up Estimating (Estimasi Bawah-Ke-Atas)</w:t>
      </w:r>
    </w:p>
    <w:p>
      <w:pPr>
        <w:spacing w:before="0" w:after="120" w:line="360" w:lineRule="auto"/>
        <w:jc w:val="both"/>
      </w:pPr>
      <w:r>
        <w:rPr>
          <w:rFonts w:ascii="Times New Roman" w:hAnsi="Times New Roman"/>
          <w:b w:val="0"/>
          <w:color w:val="000000"/>
          <w:sz w:val="24"/>
        </w:rPr>
        <w:t>Mengestimasi setiap komponen pekerjaan paling bawah (Work Package di WBS), lalu digabungkan (rollup) ke atas untuk mendapat total proyek.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Kelebihan:</w:t>
      </w:r>
      <w:r>
        <w:rPr>
          <w:rFonts w:ascii="Times New Roman" w:hAnsi="Times New Roman"/>
          <w:b w:val="0"/>
          <w:sz w:val="24"/>
        </w:rPr>
        <w:t xml:space="preserve"> Akurasi sangat tinggi karena dirinci secara presisi pada setiap tugas spesifik.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Kekurangan:</w:t>
      </w:r>
      <w:r>
        <w:rPr>
          <w:rFonts w:ascii="Times New Roman" w:hAnsi="Times New Roman"/>
          <w:b w:val="0"/>
          <w:sz w:val="24"/>
        </w:rPr>
        <w:t xml:space="preserve"> Sangat memakan waktu dan biaya besar, serta memerlukan WBS yang sudah final (rinci).</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Three-Point Estimating (Estimasi Tiga Titik)</w:t>
      </w:r>
    </w:p>
    <w:p>
      <w:pPr>
        <w:spacing w:before="0" w:after="120" w:line="360" w:lineRule="auto"/>
        <w:jc w:val="both"/>
      </w:pPr>
      <w:r>
        <w:rPr>
          <w:rFonts w:ascii="Times New Roman" w:hAnsi="Times New Roman"/>
          <w:b w:val="0"/>
          <w:color w:val="000000"/>
          <w:sz w:val="24"/>
        </w:rPr>
        <w:t>Menggunakan tiga nilai estimasi: Optimistic (O), Most Likely (M), dan Pessimistic (P) dengan rumus PERT (O + 4M + P)/6.</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Kelebihan:</w:t>
      </w:r>
      <w:r>
        <w:rPr>
          <w:rFonts w:ascii="Times New Roman" w:hAnsi="Times New Roman"/>
          <w:b w:val="0"/>
          <w:sz w:val="24"/>
        </w:rPr>
        <w:t xml:space="preserve"> Memperhitungkan risiko dan tingkat ketidakpastian sehingga estimasi lebih realistis.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Kekurangan:</w:t>
      </w:r>
      <w:r>
        <w:rPr>
          <w:rFonts w:ascii="Times New Roman" w:hAnsi="Times New Roman"/>
          <w:b w:val="0"/>
          <w:sz w:val="24"/>
        </w:rPr>
        <w:t xml:space="preserve"> Membutuhkan lebih banyak usaha untuk menggali tiga angka dari para pakar.</w:t>
      </w:r>
    </w:p>
    <w:p>
      <w:pPr>
        <w:keepNext/>
        <w:spacing w:before="240" w:after="100" w:line="276" w:lineRule="auto"/>
      </w:pPr>
      <w:r>
        <w:rPr>
          <w:rFonts w:ascii="Times New Roman" w:hAnsi="Times New Roman"/>
          <w:b/>
          <w:color w:val="000000"/>
          <w:sz w:val="24"/>
        </w:rPr>
        <w:t>4. Apa perbedaan antara ROM (Rough Order of Magnitude) estimate dan Definitive estimate?</w:t>
      </w:r>
    </w:p>
    <w:p>
      <w:pPr>
        <w:spacing w:before="0" w:after="120" w:line="360" w:lineRule="auto"/>
        <w:jc w:val="both"/>
      </w:pPr>
      <w:r>
        <w:rPr>
          <w:rFonts w:ascii="Times New Roman" w:hAnsi="Times New Roman"/>
          <w:b w:val="0"/>
          <w:color w:val="000000"/>
          <w:sz w:val="24"/>
        </w:rPr>
        <w:t>Perbedaan utamanya terletak pada fase proyek saat estimasi dilakukan dan tingkat akurasi (rentang simpangan) yang dihasilkan: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Rough Order of Magnitude (ROM) Estimate:</w:t>
      </w:r>
      <w:r>
        <w:rPr>
          <w:rFonts w:ascii="Times New Roman" w:hAnsi="Times New Roman"/>
          <w:b w:val="0"/>
          <w:sz w:val="24"/>
        </w:rPr>
        <w:t xml:space="preserve"> Dilakukan pada fase Inisiasi proyek (saat Project Charter dibuat). Akurasinya sangat kasar dengan rentang -25% hingga +75%. Tujuannya hanya untuk studi kelayakan atau persetujuan awal anggaran.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Definitive Estimate:</w:t>
      </w:r>
      <w:r>
        <w:rPr>
          <w:rFonts w:ascii="Times New Roman" w:hAnsi="Times New Roman"/>
          <w:b w:val="0"/>
          <w:sz w:val="24"/>
        </w:rPr>
        <w:t xml:space="preserve"> Dilakukan di akhir fase Perencanaan, ketika WBS (Work Breakdown Structure) sudah lengkap dan vendor sudah jelas. Tingkat akurasinya jauh lebih presisi, dengan rentang -5% hingga +10%. Estimasi ini menjadi dasar penetapan Cost Baseline.</w:t>
      </w:r>
    </w:p>
    <w:p>
      <w:pPr>
        <w:keepNext/>
        <w:spacing w:before="240" w:after="100" w:line="276" w:lineRule="auto"/>
      </w:pPr>
      <w:r>
        <w:rPr>
          <w:rFonts w:ascii="Times New Roman" w:hAnsi="Times New Roman"/>
          <w:b/>
          <w:color w:val="000000"/>
          <w:sz w:val="24"/>
        </w:rPr>
        <w:t>5. Jelaskan perbedaan antara contingency reserve dan management reserve! Kapan masing-masing digunakan?</w:t>
      </w:r>
    </w:p>
    <w:p>
      <w:pPr>
        <w:spacing w:before="0" w:after="120" w:line="360" w:lineRule="auto"/>
        <w:jc w:val="both"/>
      </w:pPr>
      <w:r>
        <w:rPr>
          <w:rFonts w:ascii="Times New Roman" w:hAnsi="Times New Roman"/>
          <w:b w:val="0"/>
          <w:color w:val="000000"/>
          <w:sz w:val="24"/>
        </w:rPr>
        <w:t>Cadangan biaya (reserve) dibagi menjadi dua kategori berdasarkan jenis risikonya: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Contingency Reserve (Cadangan Kontingensi):</w:t>
      </w:r>
      <w:r>
        <w:rPr>
          <w:rFonts w:ascii="Times New Roman" w:hAnsi="Times New Roman"/>
          <w:b w:val="0"/>
          <w:sz w:val="24"/>
        </w:rPr>
        <w:t xml:space="preserve"> Alokasi biaya yang disiapkan untuk mengantisipasi "Known-Unknowns" (risiko yang sudah teridentifikasi dalam Risk Register tetapi dampaknya belum pasti). Cadangan ini berada di DALAM Cost Baseline dan berada di bawah kendali penuh Manajer Proyek. Contoh: Cadangan biaya jika model ML PRE-02 memerlukan epoch training berulang akibat overfitting yang diprediksi.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Management Reserve (Cadangan Manajemen):</w:t>
      </w:r>
      <w:r>
        <w:rPr>
          <w:rFonts w:ascii="Times New Roman" w:hAnsi="Times New Roman"/>
          <w:b w:val="0"/>
          <w:sz w:val="24"/>
        </w:rPr>
        <w:t xml:space="preserve"> Alokasi biaya untuk mengantisipasi "Unknown-Unknowns" (risiko force majeure atau kejadian yang tidak terprediksi sama sekali). Cadangan ini berada di LUAR Cost Baseline tetapi termasuk dalam total Project Budget. Penggunaannya harus dengan izin Sponsor Proyek atau manajemen senior. Contoh: Perubahan drastis regulasi privasi data atau pandemi mendadak.</w:t>
      </w:r>
    </w:p>
    <w:p>
      <w:pPr>
        <w:keepNext/>
        <w:spacing w:before="240" w:after="100" w:line="276" w:lineRule="auto"/>
      </w:pPr>
      <w:r>
        <w:rPr>
          <w:rFonts w:ascii="Times New Roman" w:hAnsi="Times New Roman"/>
          <w:b/>
          <w:color w:val="000000"/>
          <w:sz w:val="24"/>
        </w:rPr>
        <w:t>6. Apa yang dimaksud dengan Earned Value Management (EVM) dan mengapa metodologi ini penting?</w:t>
      </w:r>
    </w:p>
    <w:p>
      <w:pPr>
        <w:spacing w:before="0" w:after="120" w:line="360" w:lineRule="auto"/>
        <w:jc w:val="both"/>
      </w:pPr>
      <w:r>
        <w:rPr>
          <w:rFonts w:ascii="Times New Roman" w:hAnsi="Times New Roman"/>
          <w:b w:val="0"/>
          <w:color w:val="000000"/>
          <w:sz w:val="24"/>
        </w:rPr>
        <w:t>Earned Value Management (EVM) adalah metodologi pengukuran kinerja proyek yang mengintegrasikan ruang lingkup, jadwal, dan sumber daya biaya dalam satu kesatuan analisis objektif. EVM membandingkan nilai pekerjaan yang direncanakan dengan apa yang secara faktual diselesaikan (Earned) dan berapa banyak uang yang telah dikeluarkan (Actual).</w:t>
      </w:r>
    </w:p>
    <w:p>
      <w:pPr>
        <w:spacing w:before="0" w:after="120" w:line="360" w:lineRule="auto"/>
        <w:jc w:val="both"/>
      </w:pPr>
      <w:r>
        <w:rPr>
          <w:rFonts w:ascii="Times New Roman" w:hAnsi="Times New Roman"/>
          <w:b w:val="0"/>
          <w:color w:val="000000"/>
          <w:sz w:val="24"/>
        </w:rPr>
        <w:t>Metodologi ini penting karena menghilangkan asumsi atau "feeling" subjektif tentang status proyek. Tanpa EVM, proyek yang menghabiskan 50% anggaran sering dianggap sudah 50% selesai, padahal kenyataan di lapangan (Earned Value) mungkin baru 30%. EVM mampu mendeteksi keterlambatan (schedule delay) dan pembengkakan biaya (cost overrun) sejak dini sehingga tindakan korektif dapat segera dieksekusi.</w:t>
      </w:r>
    </w:p>
    <w:p>
      <w:pPr>
        <w:keepNext/>
        <w:spacing w:before="240" w:after="100" w:line="276" w:lineRule="auto"/>
      </w:pPr>
      <w:r>
        <w:rPr>
          <w:rFonts w:ascii="Times New Roman" w:hAnsi="Times New Roman"/>
          <w:b/>
          <w:color w:val="000000"/>
          <w:sz w:val="24"/>
        </w:rPr>
        <w:t>7. Sebutkan dan jelaskan tiga metrik dasar dalam EVM (PV, EV, AC) beserta cara menghitungnya!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Planned Value (PV):</w:t>
      </w:r>
      <w:r>
        <w:rPr>
          <w:rFonts w:ascii="Times New Roman" w:hAnsi="Times New Roman"/>
          <w:b w:val="0"/>
          <w:sz w:val="24"/>
        </w:rPr>
        <w:t xml:space="preserve"> Nilai anggaran yang diotorisasi dan direncanakan untuk dikeluarkan hingga titik waktu tertentu. Rumus: PV = (Target % Progres Rencana) × Total Anggaran (BAC).</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Earned Value (EV):</w:t>
      </w:r>
      <w:r>
        <w:rPr>
          <w:rFonts w:ascii="Times New Roman" w:hAnsi="Times New Roman"/>
          <w:b w:val="0"/>
          <w:sz w:val="24"/>
        </w:rPr>
        <w:t xml:space="preserve"> Nilai aktual dari pekerjaan yang telah di-deliver atau diselesaikan secara fisik pada waktu tersebut. Rumus: EV = (Faktual % Progres Aktual) × Total Anggaran (BAC).</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Actual Cost (AC):</w:t>
      </w:r>
      <w:r>
        <w:rPr>
          <w:rFonts w:ascii="Times New Roman" w:hAnsi="Times New Roman"/>
          <w:b w:val="0"/>
          <w:sz w:val="24"/>
        </w:rPr>
        <w:t xml:space="preserve"> Total biaya rill atau kas kas keluar yang telah dihabiskan untuk menyelesaikan pekerjaan (EV) tersebut hingga tanggal pelaporan. Dihitung langsung berdasarkan tagihan kas/kuitansi proyek.</w:t>
      </w:r>
    </w:p>
    <w:p>
      <w:pPr>
        <w:keepNext/>
        <w:spacing w:before="240" w:after="100" w:line="276" w:lineRule="auto"/>
      </w:pPr>
      <w:r>
        <w:rPr>
          <w:rFonts w:ascii="Times New Roman" w:hAnsi="Times New Roman"/>
          <w:b/>
          <w:color w:val="000000"/>
          <w:sz w:val="24"/>
        </w:rPr>
        <w:t>8. Jelaskan cara menghitung dan menginterpretasikan CV, SV, CPI, dan SPI!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Cost Variance (CV):</w:t>
      </w:r>
      <w:r>
        <w:rPr>
          <w:rFonts w:ascii="Times New Roman" w:hAnsi="Times New Roman"/>
          <w:b w:val="0"/>
          <w:sz w:val="24"/>
        </w:rPr>
        <w:t xml:space="preserve"> Rumus: CV = EV - AC. Jika CV positif (&gt; 0), proyek Under Budget (Hemat). Jika CV negatif (&lt; 0), proyek Over Budget (Rugi/Boros).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Schedule Variance (SV):</w:t>
      </w:r>
      <w:r>
        <w:rPr>
          <w:rFonts w:ascii="Times New Roman" w:hAnsi="Times New Roman"/>
          <w:b w:val="0"/>
          <w:sz w:val="24"/>
        </w:rPr>
        <w:t xml:space="preserve"> Rumus: SV = EV - PV. Jika SV positif (&gt; 0), proyek Ahead of Schedule (Lebih cepat). Jika SV negatif (&lt; 0), proyek Behind Schedule (Terlambat).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Cost Performance Index (CPI):</w:t>
      </w:r>
      <w:r>
        <w:rPr>
          <w:rFonts w:ascii="Times New Roman" w:hAnsi="Times New Roman"/>
          <w:b w:val="0"/>
          <w:sz w:val="24"/>
        </w:rPr>
        <w:t xml:space="preserve"> Rumus: CPI = EV / AC. CPI adalah indikator efisiensi dana. CPI = 1.2 berarti setiap Rp 1 yang dikeluarkan menghasilkan Rp 1.2 (Sangat hemat). Jika CPI &lt; 1.0 (misal 0.8), berarti proyek tidak efisien (boros).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Schedule Performance Index (SPI):</w:t>
      </w:r>
      <w:r>
        <w:rPr>
          <w:rFonts w:ascii="Times New Roman" w:hAnsi="Times New Roman"/>
          <w:b w:val="0"/>
          <w:sz w:val="24"/>
        </w:rPr>
        <w:t xml:space="preserve"> Rumus: SPI = EV / PV. SPI adalah indikator efisiensi waktu. SPI = 1.1 berarti proyek berjalan 110% lebih cepat dari target. Jika SPI &lt; 1.0, berarti progres eksekusi terlambat.</w:t>
      </w:r>
    </w:p>
    <w:p>
      <w:pPr>
        <w:keepNext/>
        <w:spacing w:before="320" w:after="180" w:line="276" w:lineRule="auto"/>
      </w:pPr>
      <w:r>
        <w:rPr>
          <w:rFonts w:ascii="Times New Roman" w:hAnsi="Times New Roman"/>
          <w:b/>
          <w:color w:val="000000"/>
          <w:sz w:val="28"/>
        </w:rPr>
        <w:t>B. TUGAS LATIHAN INDIVIDU: PERHITUNGAN EVM</w:t>
      </w:r>
    </w:p>
    <w:p>
      <w:pPr>
        <w:spacing w:before="0" w:after="120" w:line="360" w:lineRule="auto"/>
        <w:jc w:val="both"/>
      </w:pPr>
      <w:r>
        <w:rPr>
          <w:rFonts w:ascii="Times New Roman" w:hAnsi="Times New Roman"/>
          <w:b w:val="0"/>
          <w:color w:val="000000"/>
          <w:sz w:val="24"/>
        </w:rPr>
        <w:t>Studi Kasus: Sebuah proyek memiliki total anggaran (BAC) sebesar Rp 100.000.000. Pada tanggal pelaporan, rencana proyek menargetkan penyelesaian 50% pekerjaan. Namun, tim proyek melaporkan bahwa pekerjaan yang faktual telah selesai adalah 40%. Sedangkan Biaya aktual (kas) yang telah dikeluarkan adalah Rp 45.000.000.</w:t>
      </w:r>
    </w:p>
    <w:p>
      <w:pPr>
        <w:keepNext/>
        <w:spacing w:before="240" w:after="100" w:line="276" w:lineRule="auto"/>
      </w:pPr>
      <w:r>
        <w:rPr>
          <w:rFonts w:ascii="Times New Roman" w:hAnsi="Times New Roman"/>
          <w:b/>
          <w:color w:val="000000"/>
          <w:sz w:val="24"/>
        </w:rPr>
        <w:t>1. Perhitungan Planned Value (PV), Earned Value (EV), dan Actual Cost (AC)</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Planned Value (PV) = Target Rencana (%) × BAC = 50% × Rp 100.000.000 = Rp 50.000.000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Earned Value (EV) = Progres Aktual (%) × BAC = 40% × Rp 100.000.000 = Rp 40.000.000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Actual Cost (AC) = Biaya Kas yang Telah Keluar = Rp 45.000.000</w:t>
      </w:r>
    </w:p>
    <w:p>
      <w:pPr>
        <w:keepNext/>
        <w:spacing w:before="240" w:after="100" w:line="276" w:lineRule="auto"/>
      </w:pPr>
      <w:r>
        <w:rPr>
          <w:rFonts w:ascii="Times New Roman" w:hAnsi="Times New Roman"/>
          <w:b/>
          <w:color w:val="000000"/>
          <w:sz w:val="24"/>
        </w:rPr>
        <w:t>2. Perhitungan Variance dan Index Kinerja (CV, SV, CPI, SPI)</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Cost Variance (CV) = EV - AC = Rp 40.000.000 - Rp 45.000.000 = -Rp 5.000.000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Schedule Variance (SV) = EV - PV = Rp 40.000.000 - Rp 50.000.000 = -Rp 10.000.000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Cost Performance Index (CPI) = EV / AC = Rp 40.000.000 / Rp 45.000.000 = 0.8889</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Schedule Performance Index (SPI) = EV / PV = Rp 40.000.000 / Rp 50.000.000 = 0.80</w:t>
      </w:r>
    </w:p>
    <w:p>
      <w:pPr>
        <w:keepNext/>
        <w:spacing w:before="240" w:after="100" w:line="276" w:lineRule="auto"/>
      </w:pPr>
      <w:r>
        <w:rPr>
          <w:rFonts w:ascii="Times New Roman" w:hAnsi="Times New Roman"/>
          <w:b/>
          <w:color w:val="000000"/>
          <w:sz w:val="24"/>
        </w:rPr>
        <w:t>3. Interpretasi Hasil Analisis EVM</w:t>
      </w:r>
    </w:p>
    <w:p>
      <w:pPr>
        <w:spacing w:before="0" w:after="120" w:line="360" w:lineRule="auto"/>
        <w:jc w:val="both"/>
      </w:pPr>
      <w:r>
        <w:rPr>
          <w:rFonts w:ascii="Times New Roman" w:hAnsi="Times New Roman"/>
          <w:b w:val="0"/>
          <w:color w:val="000000"/>
          <w:sz w:val="24"/>
        </w:rPr>
        <w:t>Berdasarkan nilai perhitungan di atas, status kesehatan proyek menunjukkan indikasi peringatan dini:</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Cost Variance (CV) negatif (-Rp 5 Juta) dan CPI (0.88) &lt; 1.0 mengindikasikan bahwa proyek mengalami pembengkakan biaya (Over Budget). Setiap Rp 1 uang yang dihabiskan hanya menghasilkan Rp 0.88 nilai pekerjaan. Terdapat pemborosan sebesar 11%.</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Schedule Variance (SV) negatif (-Rp 10 Juta) dan SPI (0.80) &lt; 1.0 mengindikasikan bahwa proyek mengalami keterlambatan progres (Behind Schedule). Kinerja penyelesaian pekerjaan proyek hanya berjalan 80% dari kecepatan yang dijadwalkan (tertinggal 20%).</w:t>
      </w:r>
    </w:p>
    <w:p>
      <w:pPr>
        <w:keepNext/>
        <w:spacing w:before="240" w:after="100" w:line="276" w:lineRule="auto"/>
      </w:pPr>
      <w:r>
        <w:rPr>
          <w:rFonts w:ascii="Times New Roman" w:hAnsi="Times New Roman"/>
          <w:b/>
          <w:color w:val="000000"/>
          <w:sz w:val="24"/>
        </w:rPr>
        <w:t>4. Proyeksi Total Biaya Proyek (EAC)</w:t>
      </w:r>
    </w:p>
    <w:p>
      <w:pPr>
        <w:spacing w:before="0" w:after="120" w:line="360" w:lineRule="auto"/>
        <w:jc w:val="both"/>
      </w:pPr>
      <w:r>
        <w:rPr>
          <w:rFonts w:ascii="Times New Roman" w:hAnsi="Times New Roman"/>
          <w:b w:val="0"/>
          <w:color w:val="000000"/>
          <w:sz w:val="24"/>
        </w:rPr>
        <w:t>Estimate at Completion (EAC) adalah peramalan total anggaran yang dibutuhkan hingga proyek usai dengan asumsi tren inefisiensi (CPI=0.8889) akan terus berlanjut. Rumus: EAC = BAC / CPI = Rp 100.000.000 / (40/45) = Rp 112.500.000. Kesimpulannya, jika kinerja tidak diperbaiki, proyek yang semula dianggarkan Rp 100 Juta akan membengkak menjadi Rp 112,5 Juta.</w:t>
      </w:r>
    </w:p>
    <w:p>
      <w:pPr>
        <w:keepNext/>
        <w:spacing w:before="240" w:after="100" w:line="276" w:lineRule="auto"/>
      </w:pPr>
      <w:r>
        <w:rPr>
          <w:rFonts w:ascii="Times New Roman" w:hAnsi="Times New Roman"/>
          <w:b/>
          <w:color w:val="000000"/>
          <w:sz w:val="24"/>
        </w:rPr>
        <w:t>5. Proyeksi Sisa Kebutuhan Dana (ETC)</w:t>
      </w:r>
    </w:p>
    <w:p>
      <w:pPr>
        <w:spacing w:before="0" w:after="120" w:line="360" w:lineRule="auto"/>
        <w:jc w:val="both"/>
      </w:pPr>
      <w:r>
        <w:rPr>
          <w:rFonts w:ascii="Times New Roman" w:hAnsi="Times New Roman"/>
          <w:b w:val="0"/>
          <w:color w:val="000000"/>
          <w:sz w:val="24"/>
        </w:rPr>
        <w:t>Estimate to Complete (ETC) adalah sisa modal tunai yang harus disiapkan untuk mendanai sisa pekerjaan proyek yang belum terselesaikan. Rumus: ETC = EAC - AC = Rp 112.500.000 - Rp 45.000.000 = Rp 67.500.000. Tim proyek masih membutuhkan suntikan dana sebesar Rp 67,5 Juta agar proyek dapat tuntas.</w:t>
      </w:r>
    </w:p>
    <w:p>
      <w:pPr>
        <w:keepNext/>
        <w:spacing w:before="320" w:after="180" w:line="276" w:lineRule="auto"/>
      </w:pPr>
      <w:r>
        <w:rPr>
          <w:rFonts w:ascii="Times New Roman" w:hAnsi="Times New Roman"/>
          <w:b/>
          <w:color w:val="000000"/>
          <w:sz w:val="28"/>
        </w:rPr>
        <w:t>C. REFLEKSI MANDIRI</w:t>
      </w:r>
    </w:p>
    <w:p>
      <w:pPr>
        <w:keepNext/>
        <w:spacing w:before="240" w:after="100" w:line="276" w:lineRule="auto"/>
      </w:pPr>
      <w:r>
        <w:rPr>
          <w:rFonts w:ascii="Times New Roman" w:hAnsi="Times New Roman"/>
          <w:b/>
          <w:color w:val="000000"/>
          <w:sz w:val="24"/>
        </w:rPr>
        <w:t>1. Menurut Anda, apa manfaat terbesar Earned Value Management bagi seorang manajer proyek dalam mengendalikan biaya dan jadwal proyek secara bersamaan?</w:t>
      </w:r>
    </w:p>
    <w:p>
      <w:pPr>
        <w:spacing w:before="0" w:after="120" w:line="360" w:lineRule="auto"/>
        <w:jc w:val="both"/>
      </w:pPr>
      <w:r>
        <w:rPr>
          <w:rFonts w:ascii="Times New Roman" w:hAnsi="Times New Roman"/>
          <w:b w:val="0"/>
          <w:color w:val="000000"/>
          <w:sz w:val="24"/>
        </w:rPr>
        <w:t>Menurut saya, manfaat terbesar EVM adalah kemampuannya menyediakan indikator kuantitatif yang objektif tanpa bias subjektif. Sebagai contoh, tanpa EVM, seorang manajer mungkin merasa aman karena baru menghabiskan 30% anggaran, namun dengan EVM ia bisa menyadari bahwa progres fisiknya (Earned Value) ternyata baru 15%. Hal ini memungkinkan deteksi dini terhadap potensi keterlambatan (schedule slip) dan pembengkakan dana (cost overrun) sehingga tindakan korektif bisa dilakukan sebelum semuanya terlambat.</w:t>
      </w:r>
    </w:p>
    <w:p>
      <w:pPr>
        <w:keepNext/>
        <w:spacing w:before="240" w:after="100" w:line="276" w:lineRule="auto"/>
      </w:pPr>
      <w:r>
        <w:rPr>
          <w:rFonts w:ascii="Times New Roman" w:hAnsi="Times New Roman"/>
          <w:b/>
          <w:color w:val="000000"/>
          <w:sz w:val="24"/>
        </w:rPr>
        <w:t>2. Menurut Anda, apa kesulitan terbesar dalam mengestimasi biaya proyek, terutama ketika menggunakan teknik bottom-up estimating?</w:t>
      </w:r>
    </w:p>
    <w:p>
      <w:pPr>
        <w:spacing w:before="0" w:after="120" w:line="360" w:lineRule="auto"/>
        <w:jc w:val="both"/>
      </w:pPr>
      <w:r>
        <w:rPr>
          <w:rFonts w:ascii="Times New Roman" w:hAnsi="Times New Roman"/>
          <w:b w:val="0"/>
          <w:color w:val="000000"/>
          <w:sz w:val="24"/>
        </w:rPr>
        <w:t>Kesulitan terbesarnya adalah kebutuhan akan detail yang sangat tinggi (granularity). Bottom-up mengharuskan setiap Work Package sudah terdefinisi secara sempurna di awal (WBS sudah matang). Pada proyek IT atau rekayasa perangkat lunak seperti pembuatan model ML, mendefinisikan seluruh variabel secara absolut di awal sering kali mustahil karena tingginya faktor eksplorasi atau "Unknown-Unknowns". Akibatnya, estimasi ini sangat memakan waktu, tenaga, dan rawan lumpuh di fase perencanaan jika informasinya belum memadai.</w:t>
      </w:r>
    </w:p>
    <w:p>
      <w:pPr>
        <w:keepNext/>
        <w:spacing w:before="240" w:after="100" w:line="276" w:lineRule="auto"/>
      </w:pPr>
      <w:r>
        <w:rPr>
          <w:rFonts w:ascii="Times New Roman" w:hAnsi="Times New Roman"/>
          <w:b/>
          <w:color w:val="000000"/>
          <w:sz w:val="24"/>
        </w:rPr>
        <w:t>3. Dari empat teknik estimasi biaya yang dipelajari, teknik mana yang menurut Anda paling sesuai untuk proyek kelompok Anda, dan mengapa?</w:t>
      </w:r>
    </w:p>
    <w:p>
      <w:pPr>
        <w:spacing w:before="0" w:after="120" w:line="360" w:lineRule="auto"/>
        <w:jc w:val="both"/>
      </w:pPr>
      <w:r>
        <w:rPr>
          <w:rFonts w:ascii="Times New Roman" w:hAnsi="Times New Roman"/>
          <w:b w:val="0"/>
          <w:color w:val="000000"/>
          <w:sz w:val="24"/>
        </w:rPr>
        <w:t>Untuk proyek PRE-02, teknik Parametric Estimating yang dikombinasikan dengan Bottom-Up (Hybrid) adalah yang paling ideal. Karena komponen seperti komputasi GPU (Cloud) dapat dihitung dengan model matematis parametrik (misal: Rp 30.000 per jam × 50 jam training). Sementara untuk alokasi jam kerja SDM (Data Scientist &amp; ML Engineer) pada setiap task spesifik (seperti Hyperparameter Tuning), Bottom-Up dapat diaplikasikan agar biaya tenaga ahli bisa dipertanggungjawabkan secara rinci per Work Package.</w:t>
      </w:r>
    </w:p>
    <w:p>
      <w:pPr>
        <w:keepNext/>
        <w:spacing w:before="240" w:after="100" w:line="276" w:lineRule="auto"/>
      </w:pPr>
      <w:r>
        <w:rPr>
          <w:rFonts w:ascii="Times New Roman" w:hAnsi="Times New Roman"/>
          <w:b/>
          <w:color w:val="000000"/>
          <w:sz w:val="24"/>
        </w:rPr>
        <w:t>4. Bagaimana Anda akan menggunakan metrik EVM (CPI dan SPI) untuk mengambil keputusan jika proyek menunjukkan CPI &lt; 1 dan SPI &gt; 1 (di atas anggaran tetapi di depan jadwal)?</w:t>
      </w:r>
    </w:p>
    <w:p>
      <w:pPr>
        <w:spacing w:before="0" w:after="120" w:line="360" w:lineRule="auto"/>
        <w:jc w:val="both"/>
      </w:pPr>
      <w:r>
        <w:rPr>
          <w:rFonts w:ascii="Times New Roman" w:hAnsi="Times New Roman"/>
          <w:b w:val="0"/>
          <w:color w:val="000000"/>
          <w:sz w:val="24"/>
        </w:rPr>
        <w:t>Kondisi CPI &lt; 1 (Cost Overrun) dan SPI &gt; 1 (Ahead of Schedule) menunjukkan bahwa proyek berjalan sangat cepat, namun mengorbankan efisiensi dana, misalnya karena sering melakukan kerja lembur (overtime), membayar biaya kirim ekspres (premium), atau menyewa resource tambahan yang mahal. Keputusan saya sebagai Manajer Proyek adalah melakukan "Resource Optimization". Saya akan mengurangi jam lembur atau menghentikan penyewaan resource premium tersebut, agar kecepatan progres kembali ke batas normal yang dijadwalkan, sekaligus menekan biaya aktual (AC) agar CPI bisa berangsur pulih mendekati angka 1.0.</w:t>
      </w:r>
    </w:p>
    <w:p>
      <w:pPr>
        <w:keepNext/>
        <w:spacing w:before="240" w:after="100" w:line="276" w:lineRule="auto"/>
      </w:pPr>
      <w:r>
        <w:rPr>
          <w:rFonts w:ascii="Times New Roman" w:hAnsi="Times New Roman"/>
          <w:b/>
          <w:color w:val="000000"/>
          <w:sz w:val="24"/>
        </w:rPr>
        <w:t>5. Menurut Anda, mengapa estimasi biaya cenderung menjadi lebih akurat seiring berjalannya proyek, dan bagaimana Anda mengelola ketidakpastian biaya di awal proyek?</w:t>
      </w:r>
    </w:p>
    <w:p>
      <w:pPr>
        <w:spacing w:before="0" w:after="120" w:line="360" w:lineRule="auto"/>
        <w:jc w:val="both"/>
      </w:pPr>
      <w:r>
        <w:rPr>
          <w:rFonts w:ascii="Times New Roman" w:hAnsi="Times New Roman"/>
          <w:b w:val="0"/>
          <w:color w:val="000000"/>
          <w:sz w:val="24"/>
        </w:rPr>
        <w:t>Fenomena ini dikenal dengan "Cone of Uncertainty". Seiring berjalannya proyek, asumsi-asumsi liar mulai tervalidasi, risiko-risiko berhasil dimitigasi, dan definisi ruang lingkup menjadi semakin solid. Hal inilah yang menyempitkan variansi estimasi biaya. Untuk mengelola ketidakpastian di fase inisiasi proyek (saat tingkat ketidakpastian masih sangat lebar), saya menggunakan strategi alokasi Management Reserve dan Contingency Reserve yang proporsional, serta mengimplementasikan revisi anggaran berkala ketika milestone tertentu (seperti selesainya desain arsitektur) telah terlewati.</w:t>
      </w:r>
    </w:p>
    <w:p>
      <w:pPr>
        <w:keepNext/>
        <w:spacing w:before="320" w:after="180" w:line="276" w:lineRule="auto"/>
      </w:pPr>
      <w:r>
        <w:rPr>
          <w:rFonts w:ascii="Times New Roman" w:hAnsi="Times New Roman"/>
          <w:b/>
          <w:color w:val="000000"/>
          <w:sz w:val="28"/>
        </w:rPr>
        <w:t>D. DAFTAR PUSTAKA</w:t>
      </w:r>
    </w:p>
    <w:p>
      <w:pPr>
        <w:spacing w:after="240" w:line="276" w:lineRule="auto"/>
        <w:ind w:hanging="720" w:left="720"/>
        <w:jc w:val="both"/>
      </w:pPr>
      <w:r>
        <w:rPr>
          <w:rFonts w:ascii="Times New Roman" w:hAnsi="Times New Roman"/>
          <w:sz w:val="24"/>
        </w:rPr>
        <w:t>Kerzner, H. (2017). Project Management: A Systems Approach to Planning, Scheduling, and Controlling (12th ed.). John Wiley &amp; Sons.</w:t>
      </w:r>
    </w:p>
    <w:p>
      <w:pPr>
        <w:spacing w:after="240" w:line="276" w:lineRule="auto"/>
        <w:ind w:hanging="720" w:left="720"/>
        <w:jc w:val="both"/>
      </w:pPr>
      <w:r>
        <w:rPr>
          <w:rFonts w:ascii="Times New Roman" w:hAnsi="Times New Roman"/>
          <w:sz w:val="24"/>
        </w:rPr>
        <w:t>Larson, E. W., &amp; Gray, C. F. (2021). Project Management: The Managerial Process (8th ed.). McGraw-Hill Education.</w:t>
      </w:r>
    </w:p>
    <w:p>
      <w:pPr>
        <w:spacing w:after="240" w:line="276" w:lineRule="auto"/>
        <w:ind w:hanging="720" w:left="720"/>
        <w:jc w:val="both"/>
      </w:pPr>
      <w:r>
        <w:rPr>
          <w:rFonts w:ascii="Times New Roman" w:hAnsi="Times New Roman"/>
          <w:sz w:val="24"/>
        </w:rPr>
        <w:t>Project Management Institute. (2017). A Guide to the Project Management Body of Knowledge (PMBOK® Guide) (6th ed.). Project Management Institute, Inc.</w:t>
      </w:r>
    </w:p>
    <w:p>
      <w:pPr>
        <w:spacing w:after="240" w:line="276" w:lineRule="auto"/>
        <w:ind w:hanging="720" w:left="720"/>
        <w:jc w:val="both"/>
      </w:pPr>
      <w:r>
        <w:rPr>
          <w:rFonts w:ascii="Times New Roman" w:hAnsi="Times New Roman"/>
          <w:sz w:val="24"/>
        </w:rPr>
        <w:t>Schwalbe, K. (2019). Information Technology Project Management (9th ed.). Cengage Learning.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