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A567" w14:textId="77777777" w:rsidR="00CE5852" w:rsidRPr="00CE5852" w:rsidRDefault="00CE5852" w:rsidP="00CE5852">
      <w:pPr>
        <w:rPr>
          <w:rFonts w:asciiTheme="minorBidi" w:hAnsiTheme="minorBidi"/>
          <w:b/>
          <w:bCs/>
        </w:rPr>
      </w:pPr>
      <w:r w:rsidRPr="00CE5852">
        <w:rPr>
          <w:rFonts w:asciiTheme="minorBidi" w:hAnsiTheme="minorBidi"/>
          <w:b/>
          <w:bCs/>
        </w:rPr>
        <w:t>Analyse des ventes – Rapport automatique</w:t>
      </w:r>
    </w:p>
    <w:p w14:paraId="2566719C" w14:textId="6CEF988E" w:rsidR="00CE5852" w:rsidRPr="00CE5852" w:rsidRDefault="00CE5852" w:rsidP="00CE5852">
      <w:pPr>
        <w:rPr>
          <w:rFonts w:asciiTheme="minorBidi" w:hAnsiTheme="minorBidi"/>
        </w:rPr>
      </w:pPr>
      <w:r w:rsidRPr="00CE5852">
        <w:rPr>
          <w:rFonts w:asciiTheme="minorBidi" w:hAnsiTheme="minorBidi"/>
        </w:rPr>
        <w:t>Ce rapport présente une analyse automatique des ventes à partir d’un export Sage Gestion</w:t>
      </w:r>
      <w:r w:rsidRPr="00CE5852">
        <w:rPr>
          <w:rFonts w:asciiTheme="minorBidi" w:hAnsiTheme="minorBidi"/>
        </w:rPr>
        <w:t xml:space="preserve"> </w:t>
      </w:r>
      <w:r w:rsidRPr="00CE5852">
        <w:rPr>
          <w:rFonts w:asciiTheme="minorBidi" w:hAnsiTheme="minorBidi"/>
        </w:rPr>
        <w:t>Commerciale.</w:t>
      </w:r>
    </w:p>
    <w:p w14:paraId="66212B30" w14:textId="77777777" w:rsidR="00CE5852" w:rsidRPr="00CE5852" w:rsidRDefault="00CE5852" w:rsidP="00CE5852">
      <w:pPr>
        <w:rPr>
          <w:rFonts w:asciiTheme="minorBidi" w:hAnsiTheme="minorBidi"/>
          <w:b/>
          <w:bCs/>
        </w:rPr>
      </w:pPr>
      <w:r w:rsidRPr="00CE5852">
        <w:rPr>
          <w:rFonts w:asciiTheme="minorBidi" w:hAnsiTheme="minorBidi"/>
          <w:b/>
          <w:bCs/>
        </w:rPr>
        <w:t>Résultats clés :</w:t>
      </w:r>
    </w:p>
    <w:p w14:paraId="2182AF26" w14:textId="77777777" w:rsidR="00CE5852" w:rsidRPr="00CE5852" w:rsidRDefault="00CE5852" w:rsidP="00CE5852">
      <w:pPr>
        <w:rPr>
          <w:rFonts w:asciiTheme="minorBidi" w:hAnsiTheme="minorBidi"/>
        </w:rPr>
      </w:pPr>
      <w:r w:rsidRPr="00CE5852">
        <w:rPr>
          <w:rFonts w:asciiTheme="minorBidi" w:hAnsiTheme="minorBidi"/>
        </w:rPr>
        <w:t>- Identification des catégories les plus rentables</w:t>
      </w:r>
    </w:p>
    <w:p w14:paraId="2D860F0F" w14:textId="77777777" w:rsidR="00CE5852" w:rsidRPr="00CE5852" w:rsidRDefault="00CE5852" w:rsidP="00CE5852">
      <w:pPr>
        <w:rPr>
          <w:rFonts w:asciiTheme="minorBidi" w:hAnsiTheme="minorBidi"/>
        </w:rPr>
      </w:pPr>
      <w:r w:rsidRPr="00CE5852">
        <w:rPr>
          <w:rFonts w:asciiTheme="minorBidi" w:hAnsiTheme="minorBidi"/>
        </w:rPr>
        <w:t>- Analyse du chiffre d’affaires par zone géographique</w:t>
      </w:r>
    </w:p>
    <w:p w14:paraId="4D6D21E8" w14:textId="5D874130" w:rsidR="00CE5852" w:rsidRPr="00CE5852" w:rsidRDefault="00CE5852" w:rsidP="00CE5852">
      <w:pPr>
        <w:rPr>
          <w:rFonts w:asciiTheme="minorBidi" w:hAnsiTheme="minorBidi"/>
        </w:rPr>
      </w:pPr>
      <w:r w:rsidRPr="00CE5852">
        <w:rPr>
          <w:rFonts w:asciiTheme="minorBidi" w:hAnsiTheme="minorBidi"/>
        </w:rPr>
        <w:t>- Aide à la prise de décision commerciale</w:t>
      </w:r>
    </w:p>
    <w:p w14:paraId="682358FF" w14:textId="77777777" w:rsidR="00CE5852" w:rsidRPr="00CE5852" w:rsidRDefault="00CE5852" w:rsidP="00CE5852">
      <w:pPr>
        <w:pStyle w:val="Sansinterligne"/>
        <w:rPr>
          <w:rFonts w:asciiTheme="minorBidi" w:hAnsiTheme="minorBidi"/>
          <w:b/>
          <w:bCs/>
        </w:rPr>
      </w:pPr>
      <w:r w:rsidRPr="00CE5852">
        <w:rPr>
          <w:rFonts w:asciiTheme="minorBidi" w:hAnsiTheme="minorBidi"/>
          <w:b/>
          <w:bCs/>
        </w:rPr>
        <w:t>ANALYSE DES VENTES</w:t>
      </w:r>
    </w:p>
    <w:p w14:paraId="2F1A1D15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</w:p>
    <w:p w14:paraId="17DA7E6E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t>- Le chiffre d'affaires total s'élève à 356 €.</w:t>
      </w:r>
    </w:p>
    <w:p w14:paraId="34310699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</w:p>
    <w:p w14:paraId="57D6DDBE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t>- La catégorie la plus contributrice au chiffre d'affaires est</w:t>
      </w:r>
    </w:p>
    <w:p w14:paraId="6905AAC5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t>'Informatique' avec un CA de 275 €, ce qui représente 77.25% du CA total.</w:t>
      </w:r>
    </w:p>
    <w:p w14:paraId="19754539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</w:p>
    <w:p w14:paraId="42ED66A3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t>- D'un point de vue géographique, la ville de 'Paris'</w:t>
      </w:r>
    </w:p>
    <w:p w14:paraId="28874745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t>est la plus performante avec un chiffre d'affaires de 245 €.</w:t>
      </w:r>
    </w:p>
    <w:p w14:paraId="1C5D452F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</w:p>
    <w:p w14:paraId="7D0156A1" w14:textId="28EBAA1E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t>Tableau de bord combiné (à insérer)</w:t>
      </w:r>
    </w:p>
    <w:p w14:paraId="7236CE33" w14:textId="53A8D183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  <w:noProof/>
        </w:rPr>
        <w:drawing>
          <wp:inline distT="0" distB="0" distL="0" distR="0" wp14:anchorId="0E7A723F" wp14:editId="2F3FB5D4">
            <wp:extent cx="6156960" cy="3219645"/>
            <wp:effectExtent l="0" t="0" r="0" b="0"/>
            <wp:docPr id="1160610611" name="Image 1" descr="Une image contenant texte, diagramm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0611" name="Image 1" descr="Une image contenant texte, diagramme, capture d’écran, conception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986" cy="322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4BAF" w14:textId="77777777" w:rsidR="00CE5852" w:rsidRPr="00CE5852" w:rsidRDefault="00CE5852" w:rsidP="00CE5852">
      <w:pPr>
        <w:rPr>
          <w:rFonts w:asciiTheme="minorBidi" w:hAnsiTheme="minorBidi"/>
        </w:rPr>
      </w:pPr>
    </w:p>
    <w:p w14:paraId="72B2CFA1" w14:textId="77777777" w:rsidR="00CE5852" w:rsidRPr="00CE5852" w:rsidRDefault="00CE5852" w:rsidP="00CE5852">
      <w:pPr>
        <w:pStyle w:val="Sansinterligne"/>
        <w:rPr>
          <w:rFonts w:asciiTheme="minorBidi" w:hAnsiTheme="minorBidi"/>
          <w:b/>
          <w:bCs/>
        </w:rPr>
      </w:pPr>
      <w:r w:rsidRPr="00CE5852">
        <w:rPr>
          <w:rFonts w:asciiTheme="minorBidi" w:hAnsiTheme="minorBidi"/>
          <w:b/>
          <w:bCs/>
        </w:rPr>
        <w:t>RECOMMANDATIONS</w:t>
      </w:r>
    </w:p>
    <w:p w14:paraId="50D44035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</w:p>
    <w:p w14:paraId="79B020AB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t>- Consolider la gamme 'Informatique', qui représente une part significative du chiffre d'affaires.</w:t>
      </w:r>
    </w:p>
    <w:p w14:paraId="74E24424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</w:p>
    <w:p w14:paraId="275D1B61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t>- Renforcer les actions commerciales dans la ville de 'Paris', zone actuellement la plus rentable.</w:t>
      </w:r>
    </w:p>
    <w:p w14:paraId="39F02D48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</w:p>
    <w:p w14:paraId="4E060337" w14:textId="77777777" w:rsidR="00CE5852" w:rsidRPr="00CE5852" w:rsidRDefault="00CE5852" w:rsidP="00CE5852">
      <w:pPr>
        <w:pStyle w:val="Sansinterligne"/>
        <w:rPr>
          <w:rFonts w:asciiTheme="minorBidi" w:hAnsiTheme="minorBidi"/>
        </w:rPr>
      </w:pPr>
      <w:r w:rsidRPr="00CE5852">
        <w:rPr>
          <w:rFonts w:asciiTheme="minorBidi" w:hAnsiTheme="minorBidi"/>
        </w:rPr>
        <w:lastRenderedPageBreak/>
        <w:t>- Analyser les catégories à faible CA afin d’identifier des leviers d’optimisation (prix, volume, abandon).</w:t>
      </w:r>
    </w:p>
    <w:p w14:paraId="1ED57FA7" w14:textId="77777777" w:rsidR="00CE5852" w:rsidRPr="00CE5852" w:rsidRDefault="00CE5852" w:rsidP="00CE5852">
      <w:pPr>
        <w:rPr>
          <w:rFonts w:asciiTheme="minorBidi" w:hAnsiTheme="minorBidi"/>
        </w:rPr>
      </w:pPr>
    </w:p>
    <w:sectPr w:rsidR="00CE5852" w:rsidRPr="00CE58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52"/>
    <w:rsid w:val="00343CBC"/>
    <w:rsid w:val="00CE5852"/>
    <w:rsid w:val="00D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6A5EB"/>
  <w15:chartTrackingRefBased/>
  <w15:docId w15:val="{2F4B478D-54A7-4978-ACE4-98EF3289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58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58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58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58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58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58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58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58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58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58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5852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CE58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2025-12-14T14:14:00Z</dcterms:created>
  <dcterms:modified xsi:type="dcterms:W3CDTF">2025-12-14T14:28:00Z</dcterms:modified>
</cp:coreProperties>
</file>