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xrAI-OA: An Explainable AI Framework for Automatic Kellgren-Lawrence Grading of Knee Osteoarthritis</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vertAlign w:val="superscript"/>
        </w:rPr>
      </w:pPr>
      <w:r>
        <w:rPr>
          <w:rFonts w:ascii="Times New Roman" w:cs="Times New Roman" w:eastAsia="Times New Roman" w:hAnsi="Times New Roman"/>
          <w:sz w:val="24"/>
          <w:szCs w:val="24"/>
          <w:rtl w:val="0"/>
        </w:rPr>
        <w:t xml:space="preserve">Azmul A. Irfan</w:t>
      </w: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 Nur Ahmad Khatim</w:t>
      </w:r>
      <w:r>
        <w:rPr>
          <w:rFonts w:ascii="Times New Roman" w:cs="Times New Roman" w:eastAsia="Times New Roman" w:hAnsi="Times New Roman"/>
          <w:sz w:val="24"/>
          <w:szCs w:val="24"/>
          <w:vertAlign w:val="superscript"/>
          <w:rtl w:val="0"/>
        </w:rPr>
        <w:t xml:space="preserve">2</w:t>
      </w:r>
      <w:r>
        <w:rPr>
          <w:rFonts w:ascii="Times New Roman" w:cs="Times New Roman" w:eastAsia="Times New Roman" w:hAnsi="Times New Roman"/>
          <w:sz w:val="24"/>
          <w:szCs w:val="24"/>
          <w:rtl w:val="0"/>
        </w:rPr>
        <w:t xml:space="preserve">, Alfan Alfian Irfan</w:t>
      </w:r>
      <w:r>
        <w:rPr>
          <w:rFonts w:ascii="Times New Roman" w:cs="Times New Roman" w:eastAsia="Times New Roman" w:hAnsi="Times New Roman"/>
          <w:sz w:val="24"/>
          <w:szCs w:val="24"/>
          <w:vertAlign w:val="superscript"/>
          <w:rtl w:val="0"/>
        </w:rPr>
        <w:t xml:space="preserve">3</w:t>
      </w:r>
      <w:r>
        <w:rPr>
          <w:rFonts w:ascii="Times New Roman" w:cs="Times New Roman" w:eastAsia="Times New Roman" w:hAnsi="Times New Roman"/>
          <w:sz w:val="24"/>
          <w:szCs w:val="24"/>
          <w:rtl w:val="0"/>
        </w:rPr>
        <w:t xml:space="preserve">, Mansur M. Arief</w:t>
      </w:r>
      <w:r>
        <w:rPr>
          <w:rFonts w:ascii="Times New Roman" w:cs="Times New Roman" w:eastAsia="Times New Roman" w:hAnsi="Times New Roman"/>
          <w:sz w:val="24"/>
          <w:szCs w:val="24"/>
          <w:vertAlign w:val="superscript"/>
          <w:rtl w:val="0"/>
        </w:rPr>
        <w:t xml:space="preserve">4</w:t>
      </w:r>
      <w:r>
        <w:rPr>
          <w:rFonts w:ascii="Times New Roman" w:cs="Times New Roman" w:eastAsia="Times New Roman" w:hAnsi="Times New Roman"/>
          <w:sz w:val="24"/>
          <w:szCs w:val="24"/>
          <w:rtl w:val="0"/>
        </w:rPr>
        <w:t xml:space="preserve">, Achmad Zaki</w:t>
      </w: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 Erike A. Suwarsono</w:t>
      </w:r>
      <w:r>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03">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Faculty of Medicine, UIN Syarif Hidayatullah Jakarta, Indonesia</w:t>
      </w:r>
    </w:p>
    <w:p w:rsidR="00000000" w:rsidDel="00000000" w:rsidP="00000000" w:rsidRDefault="00000000" w:rsidRPr="00000000" w14:paraId="00000004">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vertAlign w:val="superscript"/>
          <w:rtl w:val="0"/>
        </w:rPr>
        <w:t xml:space="preserve">2</w:t>
      </w:r>
      <w:r>
        <w:rPr>
          <w:rFonts w:ascii="Times New Roman" w:cs="Times New Roman" w:eastAsia="Times New Roman" w:hAnsi="Times New Roman"/>
          <w:sz w:val="24"/>
          <w:szCs w:val="24"/>
          <w:rtl w:val="0"/>
        </w:rPr>
        <w:t xml:space="preserve">Information Science, NARA Institute of Science and Technology, Japan</w:t>
      </w:r>
    </w:p>
    <w:p w:rsidR="00000000" w:rsidDel="00000000" w:rsidP="00000000" w:rsidRDefault="00000000" w:rsidRPr="00000000" w14:paraId="00000005">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vertAlign w:val="superscript"/>
          <w:rtl w:val="0"/>
        </w:rPr>
        <w:t xml:space="preserve">3</w:t>
      </w:r>
      <w:r>
        <w:rPr>
          <w:rFonts w:ascii="Times New Roman" w:cs="Times New Roman" w:eastAsia="Times New Roman" w:hAnsi="Times New Roman"/>
          <w:sz w:val="24"/>
          <w:szCs w:val="24"/>
          <w:rtl w:val="0"/>
        </w:rPr>
        <w:t xml:space="preserve">Information Technology, Universitas Muhammadiyah Yogyakarta, Indonesia</w:t>
      </w:r>
    </w:p>
    <w:p w:rsidR="00000000" w:rsidDel="00000000" w:rsidP="00000000" w:rsidRDefault="00000000" w:rsidRPr="00000000" w14:paraId="00000006">
      <w:pPr>
        <w:jc w:val="both"/>
        <w:rPr>
          <w:rFonts w:ascii="Times New Roman" w:cs="Times New Roman" w:eastAsia="Times New Roman" w:hAnsi="Times New Roman"/>
          <w:b w:val="1"/>
          <w:bCs w:val="1"/>
          <w:color w:val="303030"/>
          <w:sz w:val="36"/>
          <w:szCs w:val="36"/>
          <w:highlight w:val="white"/>
        </w:rPr>
      </w:pPr>
      <w:r>
        <w:rPr>
          <w:rFonts w:ascii="Times New Roman" w:cs="Times New Roman" w:eastAsia="Times New Roman" w:hAnsi="Times New Roman"/>
          <w:sz w:val="24"/>
          <w:szCs w:val="24"/>
          <w:vertAlign w:val="superscript"/>
          <w:rtl w:val="0"/>
        </w:rPr>
        <w:t xml:space="preserve">4</w:t>
      </w:r>
      <w:r>
        <w:rPr>
          <w:rFonts w:ascii="Times New Roman" w:cs="Times New Roman" w:eastAsia="Times New Roman" w:hAnsi="Times New Roman"/>
          <w:sz w:val="24"/>
          <w:szCs w:val="24"/>
          <w:rtl w:val="0"/>
        </w:rPr>
        <w:t xml:space="preserve">Industrial and Systems Engineering, King Fahd University of Petroleum and Minerals, Saudi Arabia </w:t>
      </w:r>
      <w:r>
        <w:rPr>
          <w:rtl w:val="0"/>
        </w:rPr>
      </w:r>
    </w:p>
    <w:p w:rsidR="00000000" w:rsidDel="00000000" w:rsidP="00000000" w:rsidRDefault="00000000" w:rsidRPr="00000000" w14:paraId="00000007">
      <w:pPr>
        <w:pStyle w:val="Heading1"/>
        <w:keepNext w:val="0"/>
        <w:keepLines w:val="0"/>
        <w:spacing w:after="200" w:before="360" w:line="360" w:lineRule="auto"/>
        <w:jc w:val="both"/>
        <w:rPr>
          <w:rFonts w:ascii="Times New Roman" w:cs="Times New Roman" w:eastAsia="Times New Roman" w:hAnsi="Times New Roman"/>
          <w:b w:val="1"/>
          <w:bCs w:val="1"/>
          <w:color w:val="303030"/>
          <w:sz w:val="32"/>
          <w:szCs w:val="32"/>
          <w:highlight w:val="white"/>
        </w:rPr>
      </w:pPr>
      <w:bookmarkStart w:colFirst="0" w:colLast="0" w:name="_i4l5s0lhy330" w:id="0"/>
      <w:bookmarkEnd w:id="0"/>
      <w:r>
        <w:rPr>
          <w:rFonts w:ascii="Times New Roman" w:cs="Times New Roman" w:eastAsia="Times New Roman" w:hAnsi="Times New Roman"/>
          <w:b w:val="1"/>
          <w:bCs w:val="1"/>
          <w:color w:val="303030"/>
          <w:sz w:val="32"/>
          <w:szCs w:val="32"/>
          <w:highlight w:val="white"/>
          <w:rtl w:val="0"/>
        </w:rPr>
        <w:t xml:space="preserve">Abstract</w:t>
      </w:r>
    </w:p>
    <w:p w:rsidR="00000000" w:rsidDel="00000000" w:rsidP="00000000" w:rsidRDefault="00000000" w:rsidRPr="00000000" w14:paraId="00000008">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b w:val="1"/>
          <w:bCs w:val="1"/>
          <w:color w:val="303030"/>
          <w:sz w:val="24"/>
          <w:szCs w:val="24"/>
          <w:highlight w:val="white"/>
          <w:rtl w:val="0"/>
        </w:rPr>
        <w:t xml:space="preserve">Background: </w:t>
      </w:r>
      <w:r>
        <w:rPr>
          <w:rFonts w:ascii="Times New Roman" w:cs="Times New Roman" w:eastAsia="Times New Roman" w:hAnsi="Times New Roman"/>
          <w:color w:val="303030"/>
          <w:sz w:val="24"/>
          <w:szCs w:val="24"/>
          <w:highlight w:val="white"/>
          <w:rtl w:val="0"/>
        </w:rPr>
        <w:t xml:space="preserve">Knee osteoarthritis (KOA) affects an estimated 365 million people worldwide, yet its radiographic classification using the Kellgren–Lawrence (KL) grading system remains vulnerable to inter-reader variability. Current deep learning models predict KL grades in an end-to-end manner without decomposing the clinical features that define disease severity, limiting their interpretability and clinical utility.</w:t>
      </w:r>
    </w:p>
    <w:p w:rsidR="00000000" w:rsidDel="00000000" w:rsidP="00000000" w:rsidRDefault="00000000" w:rsidRPr="00000000" w14:paraId="00000009">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b w:val="1"/>
          <w:bCs w:val="1"/>
          <w:color w:val="303030"/>
          <w:sz w:val="24"/>
          <w:szCs w:val="24"/>
          <w:highlight w:val="white"/>
          <w:rtl w:val="0"/>
        </w:rPr>
        <w:t xml:space="preserve">Objective: </w:t>
      </w:r>
      <w:r>
        <w:rPr>
          <w:rFonts w:ascii="Times New Roman" w:cs="Times New Roman" w:eastAsia="Times New Roman" w:hAnsi="Times New Roman"/>
          <w:color w:val="303030"/>
          <w:sz w:val="24"/>
          <w:szCs w:val="24"/>
          <w:highlight w:val="white"/>
          <w:rtl w:val="0"/>
        </w:rPr>
        <w:t xml:space="preserve">To develop and evaluate xrAI-OA, a modular framework that independently quantifies the three cardinal radiographic features of KOA (joint space narrowing (JSN), osteophytes, and subchondral sclerosis) and integrates them into explainable KL grade classification.</w:t>
      </w:r>
    </w:p>
    <w:p w:rsidR="00000000" w:rsidDel="00000000" w:rsidP="00000000" w:rsidRDefault="00000000" w:rsidRPr="00000000" w14:paraId="0000000A">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b w:val="1"/>
          <w:bCs w:val="1"/>
          <w:color w:val="303030"/>
          <w:sz w:val="24"/>
          <w:szCs w:val="24"/>
          <w:highlight w:val="white"/>
          <w:rtl w:val="0"/>
        </w:rPr>
        <w:t xml:space="preserve">Methods: </w:t>
      </w:r>
      <w:r>
        <w:rPr>
          <w:rFonts w:ascii="Times New Roman" w:cs="Times New Roman" w:eastAsia="Times New Roman" w:hAnsi="Times New Roman"/>
          <w:color w:val="303030"/>
          <w:sz w:val="24"/>
          <w:szCs w:val="24"/>
          <w:highlight w:val="white"/>
          <w:rtl w:val="0"/>
        </w:rPr>
        <w:t xml:space="preserve">We used 8,260 posteroanterior knee radiographs from the Osteoarthritis Initiative (OAI). The pipeline comprises: (1) YOLOv8-based region-of-interest detection; (2) U-Net++ segmentation for JSN measurement; (3) SE-ResNet-50 for per-site osteophyte grading on the OARSI scale; (4) a hybrid texture-CNN classifier for subchondral sclerosis quantification; and (5) dual-path KL classification via XGBoost (transparent) and ConvNeXt-feature fusion (hybrid deep). Model performance was assessed using 5-fold stratified cross-validation with ablation studies and baseline comparisons.</w:t>
      </w:r>
    </w:p>
    <w:p w:rsidR="00000000" w:rsidDel="00000000" w:rsidP="00000000" w:rsidRDefault="00000000" w:rsidRPr="00000000" w14:paraId="0000000B">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b w:val="1"/>
          <w:bCs w:val="1"/>
          <w:color w:val="303030"/>
          <w:sz w:val="24"/>
          <w:szCs w:val="24"/>
          <w:highlight w:val="white"/>
          <w:rtl w:val="0"/>
        </w:rPr>
        <w:t xml:space="preserve">Results: </w:t>
      </w:r>
      <w:r>
        <w:rPr>
          <w:rFonts w:ascii="Times New Roman" w:cs="Times New Roman" w:eastAsia="Times New Roman" w:hAnsi="Times New Roman"/>
          <w:color w:val="303030"/>
          <w:sz w:val="24"/>
          <w:szCs w:val="24"/>
          <w:highlight w:val="white"/>
          <w:rtl w:val="0"/>
        </w:rPr>
        <w:t xml:space="preserve">[To be reported upon completion of experiments.]</w:t>
      </w:r>
    </w:p>
    <w:p w:rsidR="00000000" w:rsidDel="00000000" w:rsidP="00000000" w:rsidRDefault="00000000" w:rsidRPr="00000000" w14:paraId="0000000C">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b w:val="1"/>
          <w:bCs w:val="1"/>
          <w:color w:val="303030"/>
          <w:sz w:val="24"/>
          <w:szCs w:val="24"/>
          <w:highlight w:val="white"/>
          <w:rtl w:val="0"/>
        </w:rPr>
        <w:t xml:space="preserve">Conclusion: </w:t>
      </w:r>
      <w:r>
        <w:rPr>
          <w:rFonts w:ascii="Times New Roman" w:cs="Times New Roman" w:eastAsia="Times New Roman" w:hAnsi="Times New Roman"/>
          <w:color w:val="303030"/>
          <w:sz w:val="24"/>
          <w:szCs w:val="24"/>
          <w:highlight w:val="white"/>
          <w:rtl w:val="0"/>
        </w:rPr>
        <w:t xml:space="preserve">xrAI-OA is, to our knowledge, the first framework to integrate all three quantified radiographic features of KOA within a single pipeline, providing measurable feature-level outputs alongside multi-layer explainable visualisations for clinical decision support.</w:t>
      </w:r>
    </w:p>
    <w:p w:rsidR="00000000" w:rsidDel="00000000" w:rsidP="00000000" w:rsidRDefault="00000000" w:rsidRPr="00000000" w14:paraId="0000000D">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b w:val="1"/>
          <w:bCs w:val="1"/>
          <w:color w:val="303030"/>
          <w:sz w:val="24"/>
          <w:szCs w:val="24"/>
          <w:highlight w:val="white"/>
          <w:rtl w:val="0"/>
        </w:rPr>
        <w:t xml:space="preserve">Keywords: </w:t>
      </w:r>
      <w:r>
        <w:rPr>
          <w:rFonts w:ascii="Times New Roman" w:cs="Times New Roman" w:eastAsia="Times New Roman" w:hAnsi="Times New Roman"/>
          <w:color w:val="303030"/>
          <w:sz w:val="24"/>
          <w:szCs w:val="24"/>
          <w:highlight w:val="white"/>
          <w:rtl w:val="0"/>
        </w:rPr>
        <w:t xml:space="preserve">knee osteoarthritis; Kellgren–Lawrence grading; explainable artificial intelligence; deep learning; joint space narrowing; osteophytes; subchondral sclerosis; radiograph</w:t>
      </w:r>
    </w:p>
    <w:p w:rsidR="00000000" w:rsidDel="00000000" w:rsidP="00000000" w:rsidRDefault="00000000" w:rsidRPr="00000000" w14:paraId="0000000E">
      <w:pPr>
        <w:spacing w:after="120" w:line="360" w:lineRule="auto"/>
        <w:jc w:val="both"/>
        <w:rPr>
          <w:rFonts w:ascii="Times New Roman" w:cs="Times New Roman" w:eastAsia="Times New Roman" w:hAnsi="Times New Roman"/>
          <w:color w:val="303030"/>
          <w:sz w:val="24"/>
          <w:szCs w:val="24"/>
          <w:highlight w:val="white"/>
        </w:rPr>
      </w:pPr>
      <w:r>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 </w:t>
      </w:r>
    </w:p>
    <w:p w:rsidR="00000000" w:rsidDel="00000000" w:rsidP="00000000" w:rsidRDefault="00000000" w:rsidRPr="00000000" w14:paraId="00000010">
      <w:pPr>
        <w:pStyle w:val="Heading1"/>
        <w:keepNext w:val="0"/>
        <w:keepLines w:val="0"/>
        <w:spacing w:after="200" w:before="360" w:line="360" w:lineRule="auto"/>
        <w:jc w:val="both"/>
        <w:rPr>
          <w:rFonts w:ascii="Times New Roman" w:cs="Times New Roman" w:eastAsia="Times New Roman" w:hAnsi="Times New Roman"/>
          <w:b w:val="1"/>
          <w:bCs w:val="1"/>
          <w:color w:val="303030"/>
          <w:sz w:val="32"/>
          <w:szCs w:val="32"/>
          <w:highlight w:val="white"/>
        </w:rPr>
      </w:pPr>
      <w:bookmarkStart w:colFirst="0" w:colLast="0" w:name="_h48hw5n2irok" w:id="1"/>
      <w:bookmarkEnd w:id="1"/>
      <w:r>
        <w:rPr>
          <w:rFonts w:ascii="Times New Roman" w:cs="Times New Roman" w:eastAsia="Times New Roman" w:hAnsi="Times New Roman"/>
          <w:b w:val="1"/>
          <w:bCs w:val="1"/>
          <w:color w:val="303030"/>
          <w:sz w:val="32"/>
          <w:szCs w:val="32"/>
          <w:highlight w:val="white"/>
          <w:rtl w:val="0"/>
        </w:rPr>
        <w:t xml:space="preserve">1. Introduction</w:t>
      </w:r>
    </w:p>
    <w:p w:rsidR="00000000" w:rsidDel="00000000" w:rsidP="00000000" w:rsidRDefault="00000000" w:rsidRPr="00000000" w14:paraId="00000011">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Knee osteoarthritis (KOA) is a leading cause of chronic pain, mobility limitation, and disability in older adults. Its burden is substantial and continues to rise with population ageing and longer life expectancy. In 2020, osteoarthritis affected an estimated 595 million people globally, with the knee being the most commonly involved joint, accounting for approximately 365 million cases worldwide [1,2]. Given this scale, there is a pressing need for diagnostic approaches that are both accessible and reproducible. In routine clinical practice, plain radiography remains the most widely available imaging modality for structural assessment of KOA [3].</w:t>
      </w:r>
    </w:p>
    <w:p w:rsidR="00000000" w:rsidDel="00000000" w:rsidP="00000000" w:rsidRDefault="00000000" w:rsidRPr="00000000" w14:paraId="00000012">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Radiographic severity is most commonly classified using the Kellgren-Lawrence (KL) grading system, which stages disease from grade 0 (no radiographic features) to grade 4 (severe joint space loss with bony deformity) based on the presence and extent of osteophytes, joint space narrowing (JSN), subchondral sclerosis, and bony deformity [4]. Although widely adopted, the KL system is semiquantitative and relies on descriptive terms such as “possible”, “doubtful”, and “definite” that do not correspond to fixed radiographic thresholds. This ambiguity is particularly problematic at the transition from early to definite disease, where distinctions between doubtful and definite osteophytes or between minimal and definite JSN are often subtle [5]. As a result, KL grading remains vulnerable to considerable inter-reader and intra-reader variability, with reported inter-rater kappa values ranging from 0.35 to 0.72 depending on the KL description used [6].</w:t>
      </w:r>
    </w:p>
    <w:p w:rsidR="00000000" w:rsidDel="00000000" w:rsidP="00000000" w:rsidRDefault="00000000" w:rsidRPr="00000000" w14:paraId="00000013">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This subjectivity has practical consequences. In the Osteoarthritis Initiative (OAI), different expert readers were shown to apply different thresholds for osteophytes and JSN, leading to discordance in KL-based classification [7]. Such variability affects not only diagnostic precision but also longitudinal monitoring and management decisions tied to structural severity. More accurate and reproducible structural quantification is therefore clinically relevant, as grading thresholds directly influence treatment pathways, research eligibility, and in some settings, surgical referral.</w:t>
      </w:r>
    </w:p>
    <w:p w:rsidR="00000000" w:rsidDel="00000000" w:rsidP="00000000" w:rsidRDefault="00000000" w:rsidRPr="00000000" w14:paraId="00000014">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Recent deep learning models have improved automated KOA grading, with some achieving performance comparable to experienced readers. Previous studies have primarily employed convolutional neural networks (CNNs) to predict the overall KL grade in an end-to-end manner. Pi et al. [8] demonstrated that ensemble deep learning networks could achieve 76.93% accuracy on five-class KL classification from the OAI dataset. Chen et al. [9] further advanced this by incorporating a novel ordinal loss function that penalises misclassifications proportionally to their distance from the true grade, achieving 69.7% accuracy with a mean absolute error of 0.344. While these models successfully demonstrated diagnostic capability, they possessed notable clinical limitations. Most functioned as opaque systems, predicting the severity grade directly from image pixels without providing insight into the specific radiographic features that drove the decision. Furthermore, previous models frequently struggled to distinguish between subtle early disease stages, particularly KL-1 and KL-2, and some systems merged or excluded intermediate grades to improve their reported metrics [8–10].</w:t>
      </w:r>
    </w:p>
    <w:p w:rsidR="00000000" w:rsidDel="00000000" w:rsidP="00000000" w:rsidRDefault="00000000" w:rsidRPr="00000000" w14:paraId="00000015">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Addressing these limitations, Yoon et al. [11] introduced MediAI-OA, a deep learning framework designed to enhance clinical transparency by automatically extracting and quantifying individual radiographic features before assigning a composite KL grade. This system explicitly quantifies the JSN rate across the tibiofemoral joint and detects osteophyte formation in four distinct knee regions. By decomposing the diagnosis into objective, numerical measurements, MediAI-OA preserved a high diagnostic accuracy while substantially improving interpretability. However, this feature-extraction framework did not explicitly assess or quantify subchondral sclerosis, a key indicator of KOA progression that is included in the original KL grading criteria.</w:t>
      </w:r>
    </w:p>
    <w:p w:rsidR="00000000" w:rsidDel="00000000" w:rsidP="00000000" w:rsidRDefault="00000000" w:rsidRPr="00000000" w14:paraId="00000016">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To address this sclerosis gap, Kim et al. [12] developed an AI-driven method to classify subchondral sclerosis severity into three grades (none, mild, and significant) from knee radiographs. Utilising an EfficientNet-B0 architecture, this model achieved an accuracy of 84.70% and an area under the curve (AUC) of 0.952, employing Gradient-weighted Class Activation Mapping (Grad-CAM) to highlight the joint structures associated with sclerotic changes. This study demonstrated the technical feasibility of automated sclerosis grading, but the approach was developed as a standalone module and was not integrated into a comprehensive KL classification framework.</w:t>
      </w:r>
    </w:p>
    <w:p w:rsidR="00000000" w:rsidDel="00000000" w:rsidP="00000000" w:rsidRDefault="00000000" w:rsidRPr="00000000" w14:paraId="00000017">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More recently, Ullah and Kim [13] proposed VL-OrdinalFormer, a vision–language guided ordinal learning framework that integrates Contrastive Language–Image Pretraining (CLIP) to align visual radiograph features with textual descriptions of JSN, osteophyte formation, and subchondral sclerosis. By formally encoding these clinical concepts alongside ordinal regression, the model achieved substantial performance gains for KL-1 and KL-2 classification. Nevertheless, such approaches incorporate clinical concepts implicitly through text embeddings rather than explicitly quantifying each radiographic feature as a measurable output.</w:t>
      </w:r>
    </w:p>
    <w:p w:rsidR="00000000" w:rsidDel="00000000" w:rsidP="00000000" w:rsidRDefault="00000000" w:rsidRPr="00000000" w14:paraId="00000018">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To date, no published system has integrated all three quantified cardinal radiographic features of KOA—JSN, osteophytes, and subchondral sclerosis—within a single modular pipeline that provides both measurable feature outputs and multi-layer explainable visualisations. Existing approaches either address a subset of features [11,12], rely on implicit feature encoding without explicit quantification [13], or employ end-to-end architectures that provide post-hoc explanations of uncertain fidelity [8].</w:t>
      </w:r>
    </w:p>
    <w:p w:rsidR="00000000" w:rsidDel="00000000" w:rsidP="00000000" w:rsidRDefault="00000000" w:rsidRPr="00000000" w14:paraId="00000019">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In view of these limitations, the present study proposes xrAI-OA, an interpretable framework for KOA classification from plain radiographs that explicitly quantifies the three principal structural components of disease and uses them to support ordinal KL classification. The framework employs task-specific architectures for each feature: segmentation-based measurement for JSN (using U-Net++ with EfficientNet-B4 encoder), per-region-of-interest ordinal classification for osteophytes (using SE-ResNet-50, following the architecture validated by Tiulpin and Saarakkala [14]), and hybrid texture analysis combined with CNN classification for subchondral sclerosis (informed by the texture descriptors of Bayramoglu et al. [15] and the grading protocol of Kim et al. [12]). The quantified features are fused through a dual-path classification strategy—a transparent XGBoost path and a hybrid ConvNeXt-based deep learning path—to predict the final KL grade, accompanied by spatial overlays and a template-based clinical narrative report. We hypothesise that this concept-based, feature-decomposed strategy can preserve diagnostic performance comparable to state-of-the-art end-to-end models while substantially improving interpretability and clinical usability.</w:t>
      </w:r>
    </w:p>
    <w:p w:rsidR="00000000" w:rsidDel="00000000" w:rsidP="00000000" w:rsidRDefault="00000000" w:rsidRPr="00000000" w14:paraId="0000001A">
      <w:pPr>
        <w:spacing w:line="360" w:lineRule="auto"/>
        <w:jc w:val="both"/>
        <w:rPr>
          <w:rFonts w:ascii="Times New Roman" w:cs="Times New Roman" w:eastAsia="Times New Roman" w:hAnsi="Times New Roman"/>
          <w:color w:val="303030"/>
          <w:sz w:val="24"/>
          <w:szCs w:val="24"/>
          <w:highlight w:val="white"/>
        </w:rPr>
      </w:pPr>
      <w:r>
        <w:rPr>
          <w:rtl w:val="0"/>
        </w:rPr>
      </w:r>
    </w:p>
    <w:p w:rsidR="00000000" w:rsidDel="00000000" w:rsidP="00000000" w:rsidRDefault="00000000" w:rsidRPr="00000000" w14:paraId="0000001B">
      <w:pPr>
        <w:pStyle w:val="Heading1"/>
        <w:keepNext w:val="0"/>
        <w:keepLines w:val="0"/>
        <w:spacing w:after="200" w:before="360" w:line="360" w:lineRule="auto"/>
        <w:jc w:val="both"/>
        <w:rPr>
          <w:rFonts w:ascii="Times New Roman" w:cs="Times New Roman" w:eastAsia="Times New Roman" w:hAnsi="Times New Roman"/>
          <w:b w:val="1"/>
          <w:bCs w:val="1"/>
          <w:color w:val="303030"/>
          <w:sz w:val="32"/>
          <w:szCs w:val="32"/>
          <w:highlight w:val="white"/>
        </w:rPr>
      </w:pPr>
      <w:bookmarkStart w:colFirst="0" w:colLast="0" w:name="_y2vqqsso5rga" w:id="2"/>
      <w:bookmarkEnd w:id="2"/>
      <w:r>
        <w:rPr>
          <w:rFonts w:ascii="Times New Roman" w:cs="Times New Roman" w:eastAsia="Times New Roman" w:hAnsi="Times New Roman"/>
          <w:b w:val="1"/>
          <w:bCs w:val="1"/>
          <w:color w:val="303030"/>
          <w:sz w:val="32"/>
          <w:szCs w:val="32"/>
          <w:highlight w:val="white"/>
          <w:rtl w:val="0"/>
        </w:rPr>
        <w:t xml:space="preserve">2. Related Work</w:t>
      </w:r>
    </w:p>
    <w:p w:rsidR="00000000" w:rsidDel="00000000" w:rsidP="00000000" w:rsidRDefault="00000000" w:rsidRPr="00000000" w14:paraId="0000001C">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bookmarkStart w:colFirst="0" w:colLast="0" w:name="_fwyc0hwx5n41" w:id="3"/>
      <w:bookmarkEnd w:id="3"/>
      <w:r>
        <w:rPr>
          <w:rFonts w:ascii="Times New Roman" w:cs="Times New Roman" w:eastAsia="Times New Roman" w:hAnsi="Times New Roman"/>
          <w:b w:val="1"/>
          <w:bCs w:val="1"/>
          <w:color w:val="303030"/>
          <w:sz w:val="26"/>
          <w:szCs w:val="26"/>
          <w:highlight w:val="white"/>
          <w:rtl w:val="0"/>
        </w:rPr>
        <w:t xml:space="preserve">2.1 End-to-End KL Grade Classification</w:t>
      </w:r>
    </w:p>
    <w:p w:rsidR="00000000" w:rsidDel="00000000" w:rsidP="00000000" w:rsidRDefault="00000000" w:rsidRPr="00000000" w14:paraId="0000001D">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Most previous AI approaches for KOA grading have followed an end-to-end design, in which a deep learning model predicts the KL grade directly from the radiograph without explicitly identifying intermediate structural findings. This paradigm has established that routine knee radiographs contain sufficient visual information for automated severity classification. Chen et al. [9] applied YOLOv2 for joint detection followed by VGG-19 with a novel ordinal loss function, achieving a mean Jaccard index of 0.858 for detection and 69.7% five-class accuracy. Pi et al. [8] demonstrated that ensemble networks combining multiple CNN architectures could improve robustness, reporting 76.93% accuracy with Grad-CAM confirming model attention to joint space regions. More recently, transformer-based architectures have been explored; Ullah and Kim [13] combined a ViT-L16 backbone with CORAL ordinal regression and CLIP-based semantic alignment, yielding state-of-the-art macro F1 scores and overall accuracy on the OAI dataset.</w:t>
      </w:r>
    </w:p>
    <w:p w:rsidR="00000000" w:rsidDel="00000000" w:rsidP="00000000" w:rsidRDefault="00000000" w:rsidRPr="00000000" w14:paraId="0000001E">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From a modelling perspective, these studies established end-to-end classification as a strong benchmark. However, their output is typically limited to the final KL grade without explicitly identifying the structural findings that support the prediction. In clinical practice, KOA severity is assessed by interpreting specific radiographic features particularly JSN, osteophytes, subchondral sclerosis, and bony deformity, rather than from global image appearance alone. A model that maps an image directly to a grade may achieve high accuracy while providing limited clinical insight into the reasoning behind the assigned grade. This interpretability gap limits adoption in clinical workflows where transparency is essential for physician trust and regulatory compliance.</w:t>
      </w:r>
    </w:p>
    <w:p w:rsidR="00000000" w:rsidDel="00000000" w:rsidP="00000000" w:rsidRDefault="00000000" w:rsidRPr="00000000" w14:paraId="0000001F">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bookmarkStart w:colFirst="0" w:colLast="0" w:name="_v1utvvdfk4u9" w:id="4"/>
      <w:bookmarkEnd w:id="4"/>
      <w:r>
        <w:rPr>
          <w:rFonts w:ascii="Times New Roman" w:cs="Times New Roman" w:eastAsia="Times New Roman" w:hAnsi="Times New Roman"/>
          <w:b w:val="1"/>
          <w:bCs w:val="1"/>
          <w:color w:val="303030"/>
          <w:sz w:val="26"/>
          <w:szCs w:val="26"/>
          <w:highlight w:val="white"/>
          <w:rtl w:val="0"/>
        </w:rPr>
        <w:t xml:space="preserve">2.2 Feature-Specific Quantification of KOA Findings</w:t>
      </w:r>
    </w:p>
    <w:p w:rsidR="00000000" w:rsidDel="00000000" w:rsidP="00000000" w:rsidRDefault="00000000" w:rsidRPr="00000000" w14:paraId="00000020">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A more clinically structured body of work has shifted from holistic KL prediction toward the quantification of individual radiographic features. This direction more closely reflects how KOA is assessed in practice, where radiologists interpret specific structural abnormalities rather than relying on global image appearance alone.</w:t>
      </w:r>
    </w:p>
    <w:p w:rsidR="00000000" w:rsidDel="00000000" w:rsidP="00000000" w:rsidRDefault="00000000" w:rsidRPr="00000000" w14:paraId="00000021">
      <w:pPr>
        <w:pStyle w:val="Heading3"/>
        <w:keepNext w:val="0"/>
        <w:keepLines w:val="0"/>
        <w:spacing w:after="100" w:before="200" w:line="360" w:lineRule="auto"/>
        <w:jc w:val="both"/>
        <w:rPr>
          <w:rFonts w:ascii="Times New Roman" w:cs="Times New Roman" w:eastAsia="Times New Roman" w:hAnsi="Times New Roman"/>
          <w:b w:val="1"/>
          <w:bCs w:val="1"/>
          <w:i w:val="1"/>
          <w:iCs w:val="1"/>
          <w:color w:val="303030"/>
          <w:sz w:val="24"/>
          <w:szCs w:val="24"/>
          <w:highlight w:val="white"/>
        </w:rPr>
      </w:pPr>
      <w:bookmarkStart w:colFirst="0" w:colLast="0" w:name="_mmndkey1xgfz" w:id="5"/>
      <w:bookmarkEnd w:id="5"/>
      <w:r>
        <w:rPr>
          <w:rFonts w:ascii="Times New Roman" w:cs="Times New Roman" w:eastAsia="Times New Roman" w:hAnsi="Times New Roman"/>
          <w:b w:val="1"/>
          <w:bCs w:val="1"/>
          <w:i w:val="1"/>
          <w:iCs w:val="1"/>
          <w:color w:val="303030"/>
          <w:sz w:val="24"/>
          <w:szCs w:val="24"/>
          <w:highlight w:val="white"/>
          <w:rtl w:val="0"/>
        </w:rPr>
        <w:t xml:space="preserve">2.2.1 Joint Space Narrowing</w:t>
      </w:r>
    </w:p>
    <w:p w:rsidR="00000000" w:rsidDel="00000000" w:rsidP="00000000" w:rsidRDefault="00000000" w:rsidRPr="00000000" w14:paraId="00000022">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Among the radiographic features of KOA, JSN is one of the most clinically significant because it directly reflects cartilage loss and structural progression. Recent studies have therefore treated JSN as an explicit measurable feature rather than an implicit component of black-box grading. Guo et al. [16] applied TransUNet for automatic joint space segmentation, achieving a Dice coefficient of 0.889 and an intraclass correlation coefficient (ICC) of 0.927 between manual and automated joint space width (JSW) measurements. They subsequently combined the measured JSW values with clinical data in an XGBoost regression model to predict 72-month JSW changes, demonstrating that automated segmentation is sufficiently accurate for longitudinal structural monitoring.</w:t>
      </w:r>
    </w:p>
    <w:p w:rsidR="00000000" w:rsidDel="00000000" w:rsidP="00000000" w:rsidRDefault="00000000" w:rsidRPr="00000000" w14:paraId="00000023">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The most relevant comparator for JSN quantification is MediAI-OA [11], which automatically estimates minimum joint space width (mJSW) and normalises it to produce a continuous JSN rate. This is closely aligned with our rationale: JSN should be modelled as a structural measurement rather than inferred from global image appearance. In xrAI-OA, JSN quantification serves as one explicit component within a broader tri-feature pipeline, allowing quantitative JSN information to contribute directly to an interpretable and clinically grounded KL prediction.</w:t>
      </w:r>
    </w:p>
    <w:p w:rsidR="00000000" w:rsidDel="00000000" w:rsidP="00000000" w:rsidRDefault="00000000" w:rsidRPr="00000000" w14:paraId="00000024">
      <w:pPr>
        <w:pStyle w:val="Heading3"/>
        <w:keepNext w:val="0"/>
        <w:keepLines w:val="0"/>
        <w:spacing w:after="100" w:before="200" w:line="360" w:lineRule="auto"/>
        <w:jc w:val="both"/>
        <w:rPr>
          <w:rFonts w:ascii="Times New Roman" w:cs="Times New Roman" w:eastAsia="Times New Roman" w:hAnsi="Times New Roman"/>
          <w:b w:val="1"/>
          <w:bCs w:val="1"/>
          <w:i w:val="1"/>
          <w:iCs w:val="1"/>
          <w:color w:val="303030"/>
          <w:sz w:val="24"/>
          <w:szCs w:val="24"/>
          <w:highlight w:val="white"/>
        </w:rPr>
      </w:pPr>
      <w:bookmarkStart w:colFirst="0" w:colLast="0" w:name="_g0ikmoaquy01" w:id="6"/>
      <w:bookmarkEnd w:id="6"/>
      <w:r>
        <w:rPr>
          <w:rFonts w:ascii="Times New Roman" w:cs="Times New Roman" w:eastAsia="Times New Roman" w:hAnsi="Times New Roman"/>
          <w:b w:val="1"/>
          <w:bCs w:val="1"/>
          <w:i w:val="1"/>
          <w:iCs w:val="1"/>
          <w:color w:val="303030"/>
          <w:sz w:val="24"/>
          <w:szCs w:val="24"/>
          <w:highlight w:val="white"/>
          <w:rtl w:val="0"/>
        </w:rPr>
        <w:t xml:space="preserve">2.2.2 Osteophytes</w:t>
      </w:r>
    </w:p>
    <w:p w:rsidR="00000000" w:rsidDel="00000000" w:rsidP="00000000" w:rsidRDefault="00000000" w:rsidRPr="00000000" w14:paraId="00000025">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Osteophytes are a key radiographic feature of KOA because they reflect marginal bony remodelling and contribute directly to severity grading under both KL and OARSI systems. Tiulpin and Saarakkala [14] developed an ensemble of SE-ResNet-50 and SE-ResNeXt-50 networks to simultaneously predict KL grades and six OARSI feature grades (femoral and tibial osteophytes, and JSN for lateral and medial compartments) from knee radiographs. Trained on 19,704 OAI knees and independently tested on 11,743 MOST knees, their approach achieved KL grade κ = 0.82 with per-site OARSI osteophyte kappas ranging from 0.79 to 0.94. This work demonstrated that per-site osteophyte grading using attention-augmented CNNs is both feasible and clinically meaningful.</w:t>
      </w:r>
    </w:p>
    <w:p w:rsidR="00000000" w:rsidDel="00000000" w:rsidP="00000000" w:rsidRDefault="00000000" w:rsidRPr="00000000" w14:paraId="00000026">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However, pixel-level osteophyte segmentation remains challenging. Pan et al. [17] reported a Dice coefficient of only 0.64 for osteophyte segmentation, well below clinical utility thresholds, owing to the ambiguous boundaries of marginal bone outgrowths in two-dimensional projections. This evidence supports the per-ROI classification approach adopted in xrAI-OA, which aligns with the OARSI grading paradigm used by radiologists and avoids the limitations of boundary-dependent segmentation.</w:t>
      </w:r>
    </w:p>
    <w:p w:rsidR="00000000" w:rsidDel="00000000" w:rsidP="00000000" w:rsidRDefault="00000000" w:rsidRPr="00000000" w14:paraId="00000027">
      <w:pPr>
        <w:pStyle w:val="Heading3"/>
        <w:keepNext w:val="0"/>
        <w:keepLines w:val="0"/>
        <w:spacing w:after="100" w:before="200" w:line="360" w:lineRule="auto"/>
        <w:jc w:val="both"/>
        <w:rPr>
          <w:rFonts w:ascii="Times New Roman" w:cs="Times New Roman" w:eastAsia="Times New Roman" w:hAnsi="Times New Roman"/>
          <w:b w:val="1"/>
          <w:bCs w:val="1"/>
          <w:i w:val="1"/>
          <w:iCs w:val="1"/>
          <w:color w:val="303030"/>
          <w:sz w:val="24"/>
          <w:szCs w:val="24"/>
          <w:highlight w:val="white"/>
        </w:rPr>
      </w:pPr>
      <w:bookmarkStart w:colFirst="0" w:colLast="0" w:name="_11y6dopusn77" w:id="7"/>
      <w:bookmarkEnd w:id="7"/>
      <w:r>
        <w:rPr>
          <w:rFonts w:ascii="Times New Roman" w:cs="Times New Roman" w:eastAsia="Times New Roman" w:hAnsi="Times New Roman"/>
          <w:b w:val="1"/>
          <w:bCs w:val="1"/>
          <w:i w:val="1"/>
          <w:iCs w:val="1"/>
          <w:color w:val="303030"/>
          <w:sz w:val="24"/>
          <w:szCs w:val="24"/>
          <w:highlight w:val="white"/>
          <w:rtl w:val="0"/>
        </w:rPr>
        <w:t xml:space="preserve">2.2.3 Subchondral Sclerosis</w:t>
      </w:r>
    </w:p>
    <w:p w:rsidR="00000000" w:rsidDel="00000000" w:rsidP="00000000" w:rsidRDefault="00000000" w:rsidRPr="00000000" w14:paraId="00000028">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Subchondral sclerosis is an important radiographic feature of KOA because it reflects bone remodelling beneath the articular surface and is often associated with more advanced structural disease. Kim et al. [12] developed an EfficientNet-B0-based classifier to grade subchondral sclerosis into three severity levels (none, mild, and significant) from 4,019 knee radiographic images, achieving an accuracy of 84.70% and AUC of 0.952 using 10-fold cross-validation. This study established the technical feasibility of automated sclerosis grading as a standalone classification task.</w:t>
      </w:r>
    </w:p>
    <w:p w:rsidR="00000000" w:rsidDel="00000000" w:rsidP="00000000" w:rsidRDefault="00000000" w:rsidRPr="00000000" w14:paraId="00000029">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From a texture analysis perspective, Bayramoglu et al. [15] systematically compared five texture descriptors—Local Binary Patterns (LBP), fractal dimension, Haralick features (GLCM-derived), Shannon entropy, and Histogram of Oriented Gradients (HOG)—for distinguishing OA from non-OA knees using subchondral bone texture from the OAI and MOST datasets. LBP with an adaptive region-of-interest (ROI) approach achieved the best performance at AUC = 0.840, and the adaptive ROI strategy improved AUC by up to 9% compared with fixed ROIs. Their findings provide methodological justification for combining texture-based features with learned image representations, as implemented in the sclerosis module of xrAI-OA.</w:t>
      </w:r>
    </w:p>
    <w:p w:rsidR="00000000" w:rsidDel="00000000" w:rsidP="00000000" w:rsidRDefault="00000000" w:rsidRPr="00000000" w14:paraId="0000002A">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bookmarkStart w:colFirst="0" w:colLast="0" w:name="_gw2lavprr4vg" w:id="8"/>
      <w:bookmarkEnd w:id="8"/>
      <w:r>
        <w:rPr>
          <w:rFonts w:ascii="Times New Roman" w:cs="Times New Roman" w:eastAsia="Times New Roman" w:hAnsi="Times New Roman"/>
          <w:b w:val="1"/>
          <w:bCs w:val="1"/>
          <w:color w:val="303030"/>
          <w:sz w:val="26"/>
          <w:szCs w:val="26"/>
          <w:highlight w:val="white"/>
          <w:rtl w:val="0"/>
        </w:rPr>
        <w:t xml:space="preserve">2.3 Explainability in KOA Diagnosis</w:t>
      </w:r>
    </w:p>
    <w:p w:rsidR="00000000" w:rsidDel="00000000" w:rsidP="00000000" w:rsidRDefault="00000000" w:rsidRPr="00000000" w14:paraId="0000002B">
      <w:pPr>
        <w:spacing w:after="120" w:line="360" w:lineRule="auto"/>
        <w:jc w:val="both"/>
        <w:rPr>
          <w:rFonts w:ascii="Times New Roman" w:cs="Times New Roman" w:eastAsia="Times New Roman" w:hAnsi="Times New Roman"/>
          <w:color w:val="303030"/>
          <w:sz w:val="24"/>
          <w:szCs w:val="24"/>
          <w:highlight w:val="yellow"/>
        </w:rPr>
      </w:pPr>
      <w:r>
        <w:rPr>
          <w:rFonts w:ascii="Times New Roman" w:cs="Times New Roman" w:eastAsia="Times New Roman" w:hAnsi="Times New Roman"/>
          <w:color w:val="303030"/>
          <w:sz w:val="24"/>
          <w:szCs w:val="24"/>
          <w:highlight w:val="yellow"/>
          <w:rtl w:val="0"/>
        </w:rPr>
        <w:t xml:space="preserve">Explainability has become an increasingly important requirement for clinical AI systems. Selvaraju et al. [18] introduced Grad-CAM, a gradient-based method that produces class-discriminative localisation heatmaps from any CNN architecture without retraining, which has since become the most widely used post-hoc visualisation technique in medical imaging. In the context of KOA, Karim et al. [19] proposed DeepKneeExplainer, which applied Grad-CAM to both radiographs and MRI to identify diagnostically relevant regions. While these post-hoc methods provide useful visual cues, their fidelity to the model’s actual decision process has been questioned. Weber et al. [20] documented that post-hoc heatmaps may not faithfully represent the features the model relies upon, terming this the “interpretation gap.”</w:t>
      </w:r>
    </w:p>
    <w:p w:rsidR="00000000" w:rsidDel="00000000" w:rsidP="00000000" w:rsidRDefault="00000000" w:rsidRPr="00000000" w14:paraId="0000002C">
      <w:pPr>
        <w:spacing w:after="120" w:line="360" w:lineRule="auto"/>
        <w:jc w:val="both"/>
        <w:rPr>
          <w:rFonts w:ascii="Times New Roman" w:cs="Times New Roman" w:eastAsia="Times New Roman" w:hAnsi="Times New Roman"/>
          <w:color w:val="303030"/>
          <w:sz w:val="24"/>
          <w:szCs w:val="24"/>
          <w:highlight w:val="yellow"/>
        </w:rPr>
      </w:pPr>
      <w:r>
        <w:rPr>
          <w:rFonts w:ascii="Times New Roman" w:cs="Times New Roman" w:eastAsia="Times New Roman" w:hAnsi="Times New Roman"/>
          <w:color w:val="303030"/>
          <w:sz w:val="24"/>
          <w:szCs w:val="24"/>
          <w:highlight w:val="yellow"/>
          <w:rtl w:val="0"/>
        </w:rPr>
        <w:t xml:space="preserve">An alternative approach is concept-based or inherently interpretable modelling, where transparency is built into the architecture rather than applied retrospectively. VL-OrdinalFormer [13] moves in this direction by using CLIP to align visual features with clinical text descriptions. However, it encodes clinical concepts implicitly through semantic embeddings rather than producing explicit, measurable feature outputs. In xrAI-OA, interpretability is achieved through mechanistic transparency: each feature is independently quantified and directly maps to a clinical finding, ensuring that the KL grade is a deterministic function of measurable structural evidence rather than an opaque image-to-label mapping.</w:t>
      </w:r>
    </w:p>
    <w:p w:rsidR="00000000" w:rsidDel="00000000" w:rsidP="00000000" w:rsidRDefault="00000000" w:rsidRPr="00000000" w14:paraId="0000002D">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bookmarkStart w:colFirst="0" w:colLast="0" w:name="_8chk8ceew2o" w:id="9"/>
      <w:bookmarkEnd w:id="9"/>
      <w:r>
        <w:rPr>
          <w:rFonts w:ascii="Times New Roman" w:cs="Times New Roman" w:eastAsia="Times New Roman" w:hAnsi="Times New Roman"/>
          <w:b w:val="1"/>
          <w:bCs w:val="1"/>
          <w:color w:val="303030"/>
          <w:sz w:val="26"/>
          <w:szCs w:val="26"/>
          <w:highlight w:val="white"/>
          <w:rtl w:val="0"/>
        </w:rPr>
        <w:t xml:space="preserve">2.4 Summary and Research Gap</w:t>
      </w:r>
    </w:p>
    <w:p w:rsidR="00000000" w:rsidDel="00000000" w:rsidP="00000000" w:rsidRDefault="00000000" w:rsidRPr="00000000" w14:paraId="0000002E">
      <w:pPr>
        <w:spacing w:after="80" w:before="200" w:line="360" w:lineRule="auto"/>
        <w:jc w:val="both"/>
        <w:rPr>
          <w:rFonts w:ascii="Times New Roman" w:cs="Times New Roman" w:eastAsia="Times New Roman" w:hAnsi="Times New Roman"/>
          <w:i w:val="1"/>
          <w:iCs w:val="1"/>
          <w:color w:val="303030"/>
          <w:sz w:val="24"/>
          <w:szCs w:val="24"/>
          <w:highlight w:val="white"/>
        </w:rPr>
      </w:pPr>
      <w:r>
        <w:rPr>
          <w:rFonts w:ascii="Times New Roman" w:cs="Times New Roman" w:eastAsia="Times New Roman" w:hAnsi="Times New Roman"/>
          <w:b w:val="1"/>
          <w:bCs w:val="1"/>
          <w:i w:val="1"/>
          <w:iCs w:val="1"/>
          <w:color w:val="303030"/>
          <w:sz w:val="24"/>
          <w:szCs w:val="24"/>
          <w:highlight w:val="white"/>
          <w:rtl w:val="0"/>
        </w:rPr>
        <w:t xml:space="preserve">Table 1. </w:t>
      </w:r>
      <w:r>
        <w:rPr>
          <w:rFonts w:ascii="Times New Roman" w:cs="Times New Roman" w:eastAsia="Times New Roman" w:hAnsi="Times New Roman"/>
          <w:i w:val="1"/>
          <w:iCs w:val="1"/>
          <w:color w:val="303030"/>
          <w:sz w:val="24"/>
          <w:szCs w:val="24"/>
          <w:highlight w:val="white"/>
          <w:rtl w:val="0"/>
        </w:rPr>
        <w:t xml:space="preserve">Comparison of existing KOA AI systems with xrAI-OA.</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215"/>
        <w:gridCol w:w="1215"/>
        <w:gridCol w:w="1215"/>
        <w:gridCol w:w="1080"/>
        <w:gridCol w:w="1245"/>
        <w:gridCol w:w="1425"/>
        <w:tblGridChange w:id="0">
          <w:tblGrid>
            <w:gridCol w:w="1635"/>
            <w:gridCol w:w="1215"/>
            <w:gridCol w:w="1215"/>
            <w:gridCol w:w="1215"/>
            <w:gridCol w:w="1080"/>
            <w:gridCol w:w="1245"/>
            <w:gridCol w:w="1425"/>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d5e8f0" w:val="clear"/>
            <w:tcMar>
              <w:top w:w="40.0" w:type="dxa"/>
              <w:left w:w="80.0" w:type="dxa"/>
              <w:bottom w:w="40.0" w:type="dxa"/>
              <w:right w:w="80.0" w:type="dxa"/>
            </w:tcMar>
            <w:vAlign w:val="top"/>
          </w:tcPr>
          <w:p w:rsidR="00000000" w:rsidDel="00000000" w:rsidP="00000000" w:rsidRDefault="00000000" w:rsidRPr="00000000" w14:paraId="0000002F">
            <w:pPr>
              <w:spacing w:line="360" w:lineRule="auto"/>
              <w:jc w:val="both"/>
              <w:rPr>
                <w:rFonts w:ascii="Times New Roman" w:cs="Times New Roman" w:eastAsia="Times New Roman" w:hAnsi="Times New Roman"/>
                <w:b w:val="1"/>
                <w:bCs w:val="1"/>
                <w:color w:val="303030"/>
                <w:sz w:val="20"/>
                <w:szCs w:val="20"/>
                <w:highlight w:val="white"/>
              </w:rPr>
            </w:pPr>
            <w:r>
              <w:rPr>
                <w:rFonts w:ascii="Times New Roman" w:cs="Times New Roman" w:eastAsia="Times New Roman" w:hAnsi="Times New Roman"/>
                <w:b w:val="1"/>
                <w:bCs w:val="1"/>
                <w:color w:val="303030"/>
                <w:sz w:val="20"/>
                <w:szCs w:val="20"/>
                <w:highlight w:val="white"/>
                <w:rtl w:val="0"/>
              </w:rPr>
              <w:t xml:space="preserve">System</w:t>
            </w:r>
          </w:p>
        </w:tc>
        <w:tc>
          <w:tcPr>
            <w:tcBorders>
              <w:top w:color="000000" w:space="0" w:sz="7" w:val="single"/>
              <w:left w:color="000000" w:space="0" w:sz="0" w:val="nil"/>
              <w:bottom w:color="000000" w:space="0" w:sz="7" w:val="single"/>
              <w:right w:color="000000" w:space="0" w:sz="7" w:val="single"/>
            </w:tcBorders>
            <w:shd w:fill="d5e8f0" w:val="clear"/>
            <w:tcMar>
              <w:top w:w="40.0" w:type="dxa"/>
              <w:left w:w="80.0" w:type="dxa"/>
              <w:bottom w:w="40.0" w:type="dxa"/>
              <w:right w:w="80.0" w:type="dxa"/>
            </w:tcMar>
            <w:vAlign w:val="top"/>
          </w:tcPr>
          <w:p w:rsidR="00000000" w:rsidDel="00000000" w:rsidP="00000000" w:rsidRDefault="00000000" w:rsidRPr="00000000" w14:paraId="00000030">
            <w:pPr>
              <w:spacing w:line="360" w:lineRule="auto"/>
              <w:jc w:val="both"/>
              <w:rPr>
                <w:rFonts w:ascii="Times New Roman" w:cs="Times New Roman" w:eastAsia="Times New Roman" w:hAnsi="Times New Roman"/>
                <w:b w:val="1"/>
                <w:bCs w:val="1"/>
                <w:color w:val="303030"/>
                <w:sz w:val="20"/>
                <w:szCs w:val="20"/>
                <w:highlight w:val="white"/>
              </w:rPr>
            </w:pPr>
            <w:r>
              <w:rPr>
                <w:rFonts w:ascii="Times New Roman" w:cs="Times New Roman" w:eastAsia="Times New Roman" w:hAnsi="Times New Roman"/>
                <w:b w:val="1"/>
                <w:bCs w:val="1"/>
                <w:color w:val="303030"/>
                <w:sz w:val="20"/>
                <w:szCs w:val="20"/>
                <w:highlight w:val="white"/>
                <w:rtl w:val="0"/>
              </w:rPr>
              <w:t xml:space="preserve">JSN</w:t>
            </w:r>
          </w:p>
        </w:tc>
        <w:tc>
          <w:tcPr>
            <w:tcBorders>
              <w:top w:color="000000" w:space="0" w:sz="7" w:val="single"/>
              <w:left w:color="000000" w:space="0" w:sz="0" w:val="nil"/>
              <w:bottom w:color="000000" w:space="0" w:sz="7" w:val="single"/>
              <w:right w:color="000000" w:space="0" w:sz="7" w:val="single"/>
            </w:tcBorders>
            <w:shd w:fill="d5e8f0" w:val="clear"/>
            <w:tcMar>
              <w:top w:w="40.0" w:type="dxa"/>
              <w:left w:w="80.0" w:type="dxa"/>
              <w:bottom w:w="40.0" w:type="dxa"/>
              <w:right w:w="80.0" w:type="dxa"/>
            </w:tcMar>
            <w:vAlign w:val="top"/>
          </w:tcPr>
          <w:p w:rsidR="00000000" w:rsidDel="00000000" w:rsidP="00000000" w:rsidRDefault="00000000" w:rsidRPr="00000000" w14:paraId="00000031">
            <w:pPr>
              <w:spacing w:line="360" w:lineRule="auto"/>
              <w:jc w:val="both"/>
              <w:rPr>
                <w:rFonts w:ascii="Times New Roman" w:cs="Times New Roman" w:eastAsia="Times New Roman" w:hAnsi="Times New Roman"/>
                <w:b w:val="1"/>
                <w:bCs w:val="1"/>
                <w:color w:val="303030"/>
                <w:sz w:val="20"/>
                <w:szCs w:val="20"/>
                <w:highlight w:val="white"/>
              </w:rPr>
            </w:pPr>
            <w:r>
              <w:rPr>
                <w:rFonts w:ascii="Times New Roman" w:cs="Times New Roman" w:eastAsia="Times New Roman" w:hAnsi="Times New Roman"/>
                <w:b w:val="1"/>
                <w:bCs w:val="1"/>
                <w:color w:val="303030"/>
                <w:sz w:val="20"/>
                <w:szCs w:val="20"/>
                <w:highlight w:val="white"/>
                <w:rtl w:val="0"/>
              </w:rPr>
              <w:t xml:space="preserve">Osteo.</w:t>
            </w:r>
          </w:p>
        </w:tc>
        <w:tc>
          <w:tcPr>
            <w:tcBorders>
              <w:top w:color="000000" w:space="0" w:sz="7" w:val="single"/>
              <w:left w:color="000000" w:space="0" w:sz="0" w:val="nil"/>
              <w:bottom w:color="000000" w:space="0" w:sz="7" w:val="single"/>
              <w:right w:color="000000" w:space="0" w:sz="7" w:val="single"/>
            </w:tcBorders>
            <w:shd w:fill="d5e8f0" w:val="clear"/>
            <w:tcMar>
              <w:top w:w="40.0" w:type="dxa"/>
              <w:left w:w="80.0" w:type="dxa"/>
              <w:bottom w:w="40.0" w:type="dxa"/>
              <w:right w:w="80.0" w:type="dxa"/>
            </w:tcMar>
            <w:vAlign w:val="top"/>
          </w:tcPr>
          <w:p w:rsidR="00000000" w:rsidDel="00000000" w:rsidP="00000000" w:rsidRDefault="00000000" w:rsidRPr="00000000" w14:paraId="00000032">
            <w:pPr>
              <w:spacing w:line="360" w:lineRule="auto"/>
              <w:jc w:val="both"/>
              <w:rPr>
                <w:rFonts w:ascii="Times New Roman" w:cs="Times New Roman" w:eastAsia="Times New Roman" w:hAnsi="Times New Roman"/>
                <w:b w:val="1"/>
                <w:bCs w:val="1"/>
                <w:color w:val="303030"/>
                <w:sz w:val="20"/>
                <w:szCs w:val="20"/>
                <w:highlight w:val="white"/>
              </w:rPr>
            </w:pPr>
            <w:r>
              <w:rPr>
                <w:rFonts w:ascii="Times New Roman" w:cs="Times New Roman" w:eastAsia="Times New Roman" w:hAnsi="Times New Roman"/>
                <w:b w:val="1"/>
                <w:bCs w:val="1"/>
                <w:color w:val="303030"/>
                <w:sz w:val="20"/>
                <w:szCs w:val="20"/>
                <w:highlight w:val="white"/>
                <w:rtl w:val="0"/>
              </w:rPr>
              <w:t xml:space="preserve">Sclerosis</w:t>
            </w:r>
          </w:p>
        </w:tc>
        <w:tc>
          <w:tcPr>
            <w:tcBorders>
              <w:top w:color="000000" w:space="0" w:sz="7" w:val="single"/>
              <w:left w:color="000000" w:space="0" w:sz="0" w:val="nil"/>
              <w:bottom w:color="000000" w:space="0" w:sz="7" w:val="single"/>
              <w:right w:color="000000" w:space="0" w:sz="7" w:val="single"/>
            </w:tcBorders>
            <w:shd w:fill="d5e8f0" w:val="clear"/>
            <w:tcMar>
              <w:top w:w="40.0" w:type="dxa"/>
              <w:left w:w="80.0" w:type="dxa"/>
              <w:bottom w:w="40.0" w:type="dxa"/>
              <w:right w:w="80.0" w:type="dxa"/>
            </w:tcMar>
            <w:vAlign w:val="top"/>
          </w:tcPr>
          <w:p w:rsidR="00000000" w:rsidDel="00000000" w:rsidP="00000000" w:rsidRDefault="00000000" w:rsidRPr="00000000" w14:paraId="00000033">
            <w:pPr>
              <w:spacing w:line="360" w:lineRule="auto"/>
              <w:jc w:val="both"/>
              <w:rPr>
                <w:rFonts w:ascii="Times New Roman" w:cs="Times New Roman" w:eastAsia="Times New Roman" w:hAnsi="Times New Roman"/>
                <w:b w:val="1"/>
                <w:bCs w:val="1"/>
                <w:color w:val="303030"/>
                <w:sz w:val="20"/>
                <w:szCs w:val="20"/>
                <w:highlight w:val="white"/>
              </w:rPr>
            </w:pPr>
            <w:r>
              <w:rPr>
                <w:rFonts w:ascii="Times New Roman" w:cs="Times New Roman" w:eastAsia="Times New Roman" w:hAnsi="Times New Roman"/>
                <w:b w:val="1"/>
                <w:bCs w:val="1"/>
                <w:color w:val="303030"/>
                <w:sz w:val="20"/>
                <w:szCs w:val="20"/>
                <w:highlight w:val="white"/>
                <w:rtl w:val="0"/>
              </w:rPr>
              <w:t xml:space="preserve">KL Grade</w:t>
            </w:r>
          </w:p>
        </w:tc>
        <w:tc>
          <w:tcPr>
            <w:tcBorders>
              <w:top w:color="000000" w:space="0" w:sz="7" w:val="single"/>
              <w:left w:color="000000" w:space="0" w:sz="0" w:val="nil"/>
              <w:bottom w:color="000000" w:space="0" w:sz="7" w:val="single"/>
              <w:right w:color="000000" w:space="0" w:sz="7" w:val="single"/>
            </w:tcBorders>
            <w:shd w:fill="d5e8f0" w:val="clear"/>
            <w:tcMar>
              <w:top w:w="40.0" w:type="dxa"/>
              <w:left w:w="80.0" w:type="dxa"/>
              <w:bottom w:w="40.0" w:type="dxa"/>
              <w:right w:w="80.0" w:type="dxa"/>
            </w:tcMar>
            <w:vAlign w:val="top"/>
          </w:tcPr>
          <w:p w:rsidR="00000000" w:rsidDel="00000000" w:rsidP="00000000" w:rsidRDefault="00000000" w:rsidRPr="00000000" w14:paraId="00000034">
            <w:pPr>
              <w:spacing w:line="360" w:lineRule="auto"/>
              <w:jc w:val="both"/>
              <w:rPr>
                <w:rFonts w:ascii="Times New Roman" w:cs="Times New Roman" w:eastAsia="Times New Roman" w:hAnsi="Times New Roman"/>
                <w:b w:val="1"/>
                <w:bCs w:val="1"/>
                <w:color w:val="303030"/>
                <w:sz w:val="20"/>
                <w:szCs w:val="20"/>
                <w:highlight w:val="white"/>
              </w:rPr>
            </w:pPr>
            <w:r>
              <w:rPr>
                <w:rFonts w:ascii="Times New Roman" w:cs="Times New Roman" w:eastAsia="Times New Roman" w:hAnsi="Times New Roman"/>
                <w:b w:val="1"/>
                <w:bCs w:val="1"/>
                <w:color w:val="303030"/>
                <w:sz w:val="20"/>
                <w:szCs w:val="20"/>
                <w:highlight w:val="white"/>
                <w:rtl w:val="0"/>
              </w:rPr>
              <w:t xml:space="preserve">XAI Type</w:t>
            </w:r>
          </w:p>
        </w:tc>
        <w:tc>
          <w:tcPr>
            <w:tcBorders>
              <w:top w:color="000000" w:space="0" w:sz="7" w:val="single"/>
              <w:left w:color="000000" w:space="0" w:sz="0" w:val="nil"/>
              <w:bottom w:color="000000" w:space="0" w:sz="7" w:val="single"/>
              <w:right w:color="000000" w:space="0" w:sz="7" w:val="single"/>
            </w:tcBorders>
            <w:shd w:fill="d5e8f0" w:val="clear"/>
            <w:tcMar>
              <w:top w:w="40.0" w:type="dxa"/>
              <w:left w:w="80.0" w:type="dxa"/>
              <w:bottom w:w="40.0" w:type="dxa"/>
              <w:right w:w="80.0" w:type="dxa"/>
            </w:tcMar>
            <w:vAlign w:val="top"/>
          </w:tcPr>
          <w:p w:rsidR="00000000" w:rsidDel="00000000" w:rsidP="00000000" w:rsidRDefault="00000000" w:rsidRPr="00000000" w14:paraId="00000035">
            <w:pPr>
              <w:spacing w:line="360" w:lineRule="auto"/>
              <w:jc w:val="both"/>
              <w:rPr>
                <w:rFonts w:ascii="Times New Roman" w:cs="Times New Roman" w:eastAsia="Times New Roman" w:hAnsi="Times New Roman"/>
                <w:b w:val="1"/>
                <w:bCs w:val="1"/>
                <w:color w:val="303030"/>
                <w:sz w:val="20"/>
                <w:szCs w:val="20"/>
                <w:highlight w:val="white"/>
              </w:rPr>
            </w:pPr>
            <w:r>
              <w:rPr>
                <w:rFonts w:ascii="Times New Roman" w:cs="Times New Roman" w:eastAsia="Times New Roman" w:hAnsi="Times New Roman"/>
                <w:b w:val="1"/>
                <w:bCs w:val="1"/>
                <w:color w:val="303030"/>
                <w:sz w:val="20"/>
                <w:szCs w:val="20"/>
                <w:highlight w:val="white"/>
                <w:rtl w:val="0"/>
              </w:rPr>
              <w:t xml:space="preserve">Ref</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36">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Chen et al.</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37">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38">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39">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3A">
            <w:pPr>
              <w:spacing w:line="360" w:lineRule="auto"/>
              <w:jc w:val="both"/>
              <w:rPr>
                <w:rFonts w:ascii="Times New Roman" w:cs="Times New Roman" w:eastAsia="Times New Roman" w:hAnsi="Times New Roman"/>
                <w:color w:val="303030"/>
                <w:sz w:val="20"/>
                <w:szCs w:val="20"/>
                <w:highlight w:val="white"/>
              </w:rPr>
            </w:pPr>
            <w:r>
              <w:rPr>
                <w:rFonts w:ascii="Arial Unicode MS" w:cs="Arial Unicode MS" w:eastAsia="Arial Unicode MS" w:hAnsi="Arial Unicode MS"/>
                <w:color w:val="303030"/>
                <w:sz w:val="20"/>
                <w:szCs w:val="20"/>
                <w:highlight w:val="white"/>
                <w:rtl w:val="0"/>
              </w:rPr>
              <w:t xml:space="preserve">✓</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3B">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None</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3C">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[9]</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3D">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Pi et al.</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3E">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3F">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40">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41">
            <w:pPr>
              <w:spacing w:line="360" w:lineRule="auto"/>
              <w:jc w:val="both"/>
              <w:rPr>
                <w:rFonts w:ascii="Times New Roman" w:cs="Times New Roman" w:eastAsia="Times New Roman" w:hAnsi="Times New Roman"/>
                <w:color w:val="303030"/>
                <w:sz w:val="20"/>
                <w:szCs w:val="20"/>
                <w:highlight w:val="white"/>
              </w:rPr>
            </w:pPr>
            <w:r>
              <w:rPr>
                <w:rFonts w:ascii="Arial Unicode MS" w:cs="Arial Unicode MS" w:eastAsia="Arial Unicode MS" w:hAnsi="Arial Unicode MS"/>
                <w:color w:val="303030"/>
                <w:sz w:val="20"/>
                <w:szCs w:val="20"/>
                <w:highlight w:val="white"/>
                <w:rtl w:val="0"/>
              </w:rPr>
              <w:t xml:space="preserve">✓</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42">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Grad-CAM</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43">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[8]</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44">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MediAI-OA</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45">
            <w:pPr>
              <w:spacing w:line="360" w:lineRule="auto"/>
              <w:jc w:val="both"/>
              <w:rPr>
                <w:rFonts w:ascii="Times New Roman" w:cs="Times New Roman" w:eastAsia="Times New Roman" w:hAnsi="Times New Roman"/>
                <w:color w:val="303030"/>
                <w:sz w:val="20"/>
                <w:szCs w:val="20"/>
                <w:highlight w:val="white"/>
              </w:rPr>
            </w:pPr>
            <w:r>
              <w:rPr>
                <w:rFonts w:ascii="Arial Unicode MS" w:cs="Arial Unicode MS" w:eastAsia="Arial Unicode MS" w:hAnsi="Arial Unicode MS"/>
                <w:color w:val="303030"/>
                <w:sz w:val="20"/>
                <w:szCs w:val="20"/>
                <w:highlight w:val="white"/>
                <w:rtl w:val="0"/>
              </w:rPr>
              <w:t xml:space="preserve">✓</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46">
            <w:pPr>
              <w:spacing w:line="360" w:lineRule="auto"/>
              <w:jc w:val="both"/>
              <w:rPr>
                <w:rFonts w:ascii="Times New Roman" w:cs="Times New Roman" w:eastAsia="Times New Roman" w:hAnsi="Times New Roman"/>
                <w:color w:val="303030"/>
                <w:sz w:val="20"/>
                <w:szCs w:val="20"/>
                <w:highlight w:val="white"/>
              </w:rPr>
            </w:pPr>
            <w:r>
              <w:rPr>
                <w:rFonts w:ascii="Arial Unicode MS" w:cs="Arial Unicode MS" w:eastAsia="Arial Unicode MS" w:hAnsi="Arial Unicode MS"/>
                <w:color w:val="303030"/>
                <w:sz w:val="20"/>
                <w:szCs w:val="20"/>
                <w:highlight w:val="white"/>
                <w:rtl w:val="0"/>
              </w:rPr>
              <w:t xml:space="preserve">✓</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47">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48">
            <w:pPr>
              <w:spacing w:line="360" w:lineRule="auto"/>
              <w:jc w:val="both"/>
              <w:rPr>
                <w:rFonts w:ascii="Times New Roman" w:cs="Times New Roman" w:eastAsia="Times New Roman" w:hAnsi="Times New Roman"/>
                <w:color w:val="303030"/>
                <w:sz w:val="20"/>
                <w:szCs w:val="20"/>
                <w:highlight w:val="white"/>
              </w:rPr>
            </w:pPr>
            <w:r>
              <w:rPr>
                <w:rFonts w:ascii="Arial Unicode MS" w:cs="Arial Unicode MS" w:eastAsia="Arial Unicode MS" w:hAnsi="Arial Unicode MS"/>
                <w:color w:val="303030"/>
                <w:sz w:val="20"/>
                <w:szCs w:val="20"/>
                <w:highlight w:val="white"/>
                <w:rtl w:val="0"/>
              </w:rPr>
              <w:t xml:space="preserve">✓</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49">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Feature-level</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4A">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[11]</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4B">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Kim et al.</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4C">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4D">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4E">
            <w:pPr>
              <w:spacing w:line="360" w:lineRule="auto"/>
              <w:jc w:val="both"/>
              <w:rPr>
                <w:rFonts w:ascii="Times New Roman" w:cs="Times New Roman" w:eastAsia="Times New Roman" w:hAnsi="Times New Roman"/>
                <w:color w:val="303030"/>
                <w:sz w:val="20"/>
                <w:szCs w:val="20"/>
                <w:highlight w:val="white"/>
              </w:rPr>
            </w:pPr>
            <w:r>
              <w:rPr>
                <w:rFonts w:ascii="Arial Unicode MS" w:cs="Arial Unicode MS" w:eastAsia="Arial Unicode MS" w:hAnsi="Arial Unicode MS"/>
                <w:color w:val="303030"/>
                <w:sz w:val="20"/>
                <w:szCs w:val="20"/>
                <w:highlight w:val="white"/>
                <w:rtl w:val="0"/>
              </w:rPr>
              <w:t xml:space="preserve">✓</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4F">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50">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Grad-CAM</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51">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[12]</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52">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VL-OrdinalFormer</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53">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Implicit</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54">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Implicit</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55">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Implicit</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56">
            <w:pPr>
              <w:spacing w:line="360" w:lineRule="auto"/>
              <w:jc w:val="both"/>
              <w:rPr>
                <w:rFonts w:ascii="Times New Roman" w:cs="Times New Roman" w:eastAsia="Times New Roman" w:hAnsi="Times New Roman"/>
                <w:color w:val="303030"/>
                <w:sz w:val="20"/>
                <w:szCs w:val="20"/>
                <w:highlight w:val="white"/>
              </w:rPr>
            </w:pPr>
            <w:r>
              <w:rPr>
                <w:rFonts w:ascii="Arial Unicode MS" w:cs="Arial Unicode MS" w:eastAsia="Arial Unicode MS" w:hAnsi="Arial Unicode MS"/>
                <w:color w:val="303030"/>
                <w:sz w:val="20"/>
                <w:szCs w:val="20"/>
                <w:highlight w:val="white"/>
                <w:rtl w:val="0"/>
              </w:rPr>
              <w:t xml:space="preserve">✓</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57">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CLIP maps</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58">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[13]</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59">
            <w:pPr>
              <w:spacing w:line="360" w:lineRule="auto"/>
              <w:jc w:val="both"/>
              <w:rPr>
                <w:rFonts w:ascii="Times New Roman" w:cs="Times New Roman" w:eastAsia="Times New Roman" w:hAnsi="Times New Roman"/>
                <w:b w:val="1"/>
                <w:bCs w:val="1"/>
                <w:color w:val="303030"/>
                <w:sz w:val="20"/>
                <w:szCs w:val="20"/>
                <w:highlight w:val="white"/>
              </w:rPr>
            </w:pPr>
            <w:r>
              <w:rPr>
                <w:rFonts w:ascii="Times New Roman" w:cs="Times New Roman" w:eastAsia="Times New Roman" w:hAnsi="Times New Roman"/>
                <w:b w:val="1"/>
                <w:bCs w:val="1"/>
                <w:color w:val="303030"/>
                <w:sz w:val="20"/>
                <w:szCs w:val="20"/>
                <w:highlight w:val="white"/>
                <w:rtl w:val="0"/>
              </w:rPr>
              <w:t xml:space="preserve">xrAI-OA (ours)</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5A">
            <w:pPr>
              <w:spacing w:line="360" w:lineRule="auto"/>
              <w:jc w:val="both"/>
              <w:rPr>
                <w:rFonts w:ascii="Times New Roman" w:cs="Times New Roman" w:eastAsia="Times New Roman" w:hAnsi="Times New Roman"/>
                <w:b w:val="1"/>
                <w:bCs w:val="1"/>
                <w:color w:val="303030"/>
                <w:sz w:val="20"/>
                <w:szCs w:val="20"/>
                <w:highlight w:val="white"/>
              </w:rPr>
            </w:pPr>
            <w:r>
              <w:rPr>
                <w:rFonts w:ascii="Arial Unicode MS" w:cs="Arial Unicode MS" w:eastAsia="Arial Unicode MS" w:hAnsi="Arial Unicode MS"/>
                <w:b w:val="1"/>
                <w:bCs w:val="1"/>
                <w:color w:val="303030"/>
                <w:sz w:val="20"/>
                <w:szCs w:val="20"/>
                <w:highlight w:val="white"/>
                <w:rtl w:val="0"/>
              </w:rPr>
              <w:t xml:space="preserve">✓ Quantified</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5B">
            <w:pPr>
              <w:spacing w:line="360" w:lineRule="auto"/>
              <w:jc w:val="both"/>
              <w:rPr>
                <w:rFonts w:ascii="Times New Roman" w:cs="Times New Roman" w:eastAsia="Times New Roman" w:hAnsi="Times New Roman"/>
                <w:b w:val="1"/>
                <w:bCs w:val="1"/>
                <w:color w:val="303030"/>
                <w:sz w:val="20"/>
                <w:szCs w:val="20"/>
                <w:highlight w:val="white"/>
              </w:rPr>
            </w:pPr>
            <w:r>
              <w:rPr>
                <w:rFonts w:ascii="Arial Unicode MS" w:cs="Arial Unicode MS" w:eastAsia="Arial Unicode MS" w:hAnsi="Arial Unicode MS"/>
                <w:b w:val="1"/>
                <w:bCs w:val="1"/>
                <w:color w:val="303030"/>
                <w:sz w:val="20"/>
                <w:szCs w:val="20"/>
                <w:highlight w:val="white"/>
                <w:rtl w:val="0"/>
              </w:rPr>
              <w:t xml:space="preserve">✓ Quantified</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5C">
            <w:pPr>
              <w:spacing w:line="360" w:lineRule="auto"/>
              <w:jc w:val="both"/>
              <w:rPr>
                <w:rFonts w:ascii="Times New Roman" w:cs="Times New Roman" w:eastAsia="Times New Roman" w:hAnsi="Times New Roman"/>
                <w:b w:val="1"/>
                <w:bCs w:val="1"/>
                <w:color w:val="303030"/>
                <w:sz w:val="20"/>
                <w:szCs w:val="20"/>
                <w:highlight w:val="white"/>
              </w:rPr>
            </w:pPr>
            <w:r>
              <w:rPr>
                <w:rFonts w:ascii="Arial Unicode MS" w:cs="Arial Unicode MS" w:eastAsia="Arial Unicode MS" w:hAnsi="Arial Unicode MS"/>
                <w:b w:val="1"/>
                <w:bCs w:val="1"/>
                <w:color w:val="303030"/>
                <w:sz w:val="20"/>
                <w:szCs w:val="20"/>
                <w:highlight w:val="white"/>
                <w:rtl w:val="0"/>
              </w:rPr>
              <w:t xml:space="preserve">✓ Quantified</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5D">
            <w:pPr>
              <w:spacing w:line="360" w:lineRule="auto"/>
              <w:jc w:val="both"/>
              <w:rPr>
                <w:rFonts w:ascii="Times New Roman" w:cs="Times New Roman" w:eastAsia="Times New Roman" w:hAnsi="Times New Roman"/>
                <w:b w:val="1"/>
                <w:bCs w:val="1"/>
                <w:color w:val="303030"/>
                <w:sz w:val="20"/>
                <w:szCs w:val="20"/>
                <w:highlight w:val="white"/>
              </w:rPr>
            </w:pPr>
            <w:r>
              <w:rPr>
                <w:rFonts w:ascii="Arial Unicode MS" w:cs="Arial Unicode MS" w:eastAsia="Arial Unicode MS" w:hAnsi="Arial Unicode MS"/>
                <w:b w:val="1"/>
                <w:bCs w:val="1"/>
                <w:color w:val="303030"/>
                <w:sz w:val="20"/>
                <w:szCs w:val="20"/>
                <w:highlight w:val="white"/>
                <w:rtl w:val="0"/>
              </w:rPr>
              <w:t xml:space="preserve">✓ Dual-path</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5E">
            <w:pPr>
              <w:spacing w:line="360" w:lineRule="auto"/>
              <w:jc w:val="both"/>
              <w:rPr>
                <w:rFonts w:ascii="Times New Roman" w:cs="Times New Roman" w:eastAsia="Times New Roman" w:hAnsi="Times New Roman"/>
                <w:b w:val="1"/>
                <w:bCs w:val="1"/>
                <w:color w:val="303030"/>
                <w:sz w:val="20"/>
                <w:szCs w:val="20"/>
                <w:highlight w:val="white"/>
              </w:rPr>
            </w:pPr>
            <w:r>
              <w:rPr>
                <w:rFonts w:ascii="Times New Roman" w:cs="Times New Roman" w:eastAsia="Times New Roman" w:hAnsi="Times New Roman"/>
                <w:b w:val="1"/>
                <w:bCs w:val="1"/>
                <w:color w:val="303030"/>
                <w:sz w:val="20"/>
                <w:szCs w:val="20"/>
                <w:highlight w:val="white"/>
                <w:rtl w:val="0"/>
              </w:rPr>
              <w:t xml:space="preserve">Multi-layer</w:t>
            </w:r>
          </w:p>
        </w:tc>
        <w:tc>
          <w:tcPr>
            <w:tcBorders>
              <w:top w:color="000000" w:space="0" w:sz="0" w:val="nil"/>
              <w:left w:color="000000" w:space="0" w:sz="0" w:val="nil"/>
              <w:bottom w:color="000000" w:space="0" w:sz="7" w:val="single"/>
              <w:right w:color="000000" w:space="0" w:sz="7" w:val="single"/>
            </w:tcBorders>
            <w:tcMar>
              <w:top w:w="40.0" w:type="dxa"/>
              <w:left w:w="80.0" w:type="dxa"/>
              <w:bottom w:w="40.0" w:type="dxa"/>
              <w:right w:w="80.0" w:type="dxa"/>
            </w:tcMar>
            <w:vAlign w:val="top"/>
          </w:tcPr>
          <w:p w:rsidR="00000000" w:rsidDel="00000000" w:rsidP="00000000" w:rsidRDefault="00000000" w:rsidRPr="00000000" w14:paraId="0000005F">
            <w:pPr>
              <w:spacing w:line="360" w:lineRule="auto"/>
              <w:jc w:val="both"/>
              <w:rPr>
                <w:rFonts w:ascii="Times New Roman" w:cs="Times New Roman" w:eastAsia="Times New Roman" w:hAnsi="Times New Roman"/>
                <w:color w:val="303030"/>
                <w:sz w:val="20"/>
                <w:szCs w:val="20"/>
                <w:highlight w:val="white"/>
              </w:rPr>
            </w:pPr>
            <w:r>
              <w:rPr>
                <w:rFonts w:ascii="Times New Roman" w:cs="Times New Roman" w:eastAsia="Times New Roman" w:hAnsi="Times New Roman"/>
                <w:color w:val="303030"/>
                <w:sz w:val="20"/>
                <w:szCs w:val="20"/>
                <w:highlight w:val="white"/>
                <w:rtl w:val="0"/>
              </w:rPr>
              <w:t xml:space="preserve">This study</w:t>
            </w:r>
          </w:p>
        </w:tc>
      </w:tr>
    </w:tbl>
    <w:p w:rsidR="00000000" w:rsidDel="00000000" w:rsidP="00000000" w:rsidRDefault="00000000" w:rsidRPr="00000000" w14:paraId="00000060">
      <w:pPr>
        <w:spacing w:before="16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As summarised in Table 1, current KOA models remain divided between two approaches. End-to-end methods achieve strong classification performance but do not decompose the structural features that define disease severity. Feature-specific studies have demonstrated that JSN, osteophytes, and subchondral sclerosis can each be quantified with clinically acceptable performance, yet these components have been investigated predominantly in isolation. The main unmet need is a unified system that jointly quantifies the principal radiographic features and integrates them into final KL grading with full explainability. The present study addresses this gap.</w:t>
      </w:r>
    </w:p>
    <w:p w:rsidR="00000000" w:rsidDel="00000000" w:rsidP="00000000" w:rsidRDefault="00000000" w:rsidRPr="00000000" w14:paraId="00000061">
      <w:pPr>
        <w:spacing w:after="120" w:line="360" w:lineRule="auto"/>
        <w:jc w:val="both"/>
        <w:rPr>
          <w:rFonts w:ascii="Times New Roman" w:cs="Times New Roman" w:eastAsia="Times New Roman" w:hAnsi="Times New Roman"/>
          <w:color w:val="303030"/>
          <w:sz w:val="24"/>
          <w:szCs w:val="24"/>
          <w:highlight w:val="white"/>
        </w:rPr>
      </w:pPr>
      <w:r>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 </w:t>
      </w:r>
    </w:p>
    <w:p w:rsidR="00000000" w:rsidDel="00000000" w:rsidP="00000000" w:rsidRDefault="00000000" w:rsidRPr="00000000" w14:paraId="00000301">
      <w:pPr>
        <w:pStyle w:val="Heading1"/>
        <w:keepNext w:val="0"/>
        <w:keepLines w:val="0"/>
        <w:spacing w:after="200" w:before="360" w:line="360" w:lineRule="auto"/>
        <w:jc w:val="both"/>
        <w:rPr>
          <w:rFonts w:ascii="Times New Roman" w:cs="Times New Roman" w:eastAsia="Times New Roman" w:hAnsi="Times New Roman"/>
          <w:b w:val="1"/>
          <w:bCs w:val="1"/>
          <w:color w:val="303030"/>
          <w:sz w:val="32"/>
          <w:szCs w:val="32"/>
          <w:highlight w:val="white"/>
        </w:rPr>
      </w:pPr>
      <w:r>
        <w:rPr>
          <w:rFonts w:ascii="Times New Roman" w:cs="Times New Roman" w:eastAsia="Times New Roman" w:hAnsi="Times New Roman"/>
          <w:b w:val="1"/>
          <w:bCs w:val="1"/>
          <w:color w:val="303030"/>
          <w:sz w:val="32"/>
          <w:szCs w:val="32"/>
          <w:highlight w:val="white"/>
          <w:rtl w:val="0"/>
        </w:rPr>
        <w:t xml:space="preserve">3. Methods</w:t>
      </w:r>
    </w:p>
    <w:p w:rsidR="00000000" w:rsidDel="00000000" w:rsidP="00000000" w:rsidRDefault="00000000" w:rsidRPr="00000000" w14:paraId="00000302">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r>
        <w:rPr>
          <w:rFonts w:ascii="Times New Roman" w:cs="Times New Roman" w:eastAsia="Times New Roman" w:hAnsi="Times New Roman"/>
          <w:b w:val="1"/>
          <w:bCs w:val="1"/>
          <w:color w:val="303030"/>
          <w:sz w:val="26"/>
          <w:szCs w:val="26"/>
          <w:highlight w:val="white"/>
          <w:rtl w:val="0"/>
        </w:rPr>
        <w:t xml:space="preserve">3.1 Dataset and Experiment Specification</w:t>
      </w:r>
    </w:p>
    <w:p w:rsidR="00000000" w:rsidDel="00000000" w:rsidP="00000000" w:rsidRDefault="00000000" w:rsidRPr="00000000" w14:paraId="00000303">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The primary image dataset used in this study was the Knee Osteoarthritis Severity Grading Dataset (Mendeley Data, DOI: 10.17632/56rmx5bjcr.1), a publicly available collection derived from the Osteoarthritis Initiative (OAI) and curated by Chen et al. [9]. The dataset comprises 8,260 posteroanterior knee radiograph images from 4,796 participants aged 45–79 years, distributed across five Kellgren–Lawrence severity levels. All images are greyscale, pre-cropped to the knee joint region, and stored as 224 × 224 pixel PNG files with a predefined 70:10:20 stratified train/validation/test partition (5,778 / 826 / 1,656 images, respectively). The class distribution is ordinal and substantially imbalanced, with KL grade 0 constituting 39.4% of the total cohort and KL grade 4 only 3.0%, as detailed in Table 2.</w:t>
      </w:r>
    </w:p>
    <w:p w:rsidR="00000000" w:rsidDel="00000000" w:rsidP="00000000" w:rsidRDefault="00000000" w:rsidRPr="00000000" w14:paraId="00000304">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i w:val="1"/>
          <w:iCs w:val="1"/>
          <w:color w:val="303030"/>
          <w:sz w:val="24"/>
          <w:szCs w:val="24"/>
          <w:highlight w:val="white"/>
          <w:rtl w:val="0"/>
        </w:rPr>
        <w:t xml:space="preserve">Table 2. Dataset partition and Kellgren–Lawrence grade distribution.</w:t>
      </w:r>
    </w:p>
    <w:tbl>
      <w:tblPr>
        <w:tblStyle w:val="Table1"/>
        <w:tblW w:w="7200" w:type="dxa"/>
        <w:jc w:val="left"/>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Pr>
      <w:tblGrid>
        <w:gridCol w:w="1200"/>
        <w:gridCol w:w="1000"/>
        <w:gridCol w:w="1000"/>
        <w:gridCol w:w="1000"/>
        <w:gridCol w:w="1000"/>
        <w:gridCol w:w="1000"/>
        <w:gridCol w:w="1000"/>
      </w:tblGrid>
      <w:tr>
        <w:tc>
          <w:tcPr>
            <w:tcW w:w="12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Split</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Total</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KL0</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KL1</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KL2</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KL3</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KL4</w:t>
            </w:r>
          </w:p>
        </w:tc>
      </w:tr>
      <w:tr>
        <w:tc>
          <w:tcPr>
            <w:tcW w:w="12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Training</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5,778</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2,286</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1,046</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1,516</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757</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173</w:t>
            </w:r>
          </w:p>
        </w:tc>
      </w:tr>
      <w:tr>
        <w:tc>
          <w:tcPr>
            <w:tcW w:w="12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Validation</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826</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328</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153</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212</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106</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27</w:t>
            </w:r>
          </w:p>
        </w:tc>
      </w:tr>
      <w:tr>
        <w:tc>
          <w:tcPr>
            <w:tcW w:w="12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Test</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1,656</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639</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296</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447</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223</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51</w:t>
            </w:r>
          </w:p>
        </w:tc>
      </w:tr>
      <w:tr>
        <w:tc>
          <w:tcPr>
            <w:tcW w:w="12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Total</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8,260</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3,253</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1,495</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2,175</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1,086</w:t>
            </w:r>
          </w:p>
        </w:tc>
        <w:tc>
          <w:tcPr>
            <w:tcW w:w="10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251</w:t>
            </w:r>
          </w:p>
        </w:tc>
      </w:tr>
    </w:tbl>
    <w:p w:rsidR="00000000" w:rsidDel="00000000" w:rsidP="00000000" w:rsidRDefault="00000000" w:rsidRPr="00000000" w14:paraId="00000305">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Supplementary feature-level annotations were compiled to provide component-wise supervision independent of the global KL label. For osteophyte grading, per-compartment OARSI ordinal grades (0–3) at four anatomical sites (medial femur, lateral femur, medial tibia, lateral tibia) were derived from publicly available OAI semi-quantitative scoring readings and reviewed for consistency, yielding approximately 400 annotated images per site. For subchondral sclerosis classification, approximately 500 images were manually annotated with binary severity labels (none versus present) by a clinician following the grading protocol described by Kim et al. [12]. For JSN segmentation, joint space boundary contours were annotated on 400 images using the Computer Vision Annotation Tool (CVAT) with MedSAM-assisted pre-labelling to accelerate delineation.</w:t>
      </w:r>
    </w:p>
    <w:p w:rsidR="00000000" w:rsidDel="00000000" w:rsidP="00000000" w:rsidRDefault="00000000" w:rsidRPr="00000000" w14:paraId="00000306">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The experimental scope of this study comprised: (i) independent training and evaluation of three feature quantification modules (JSN, osteophytes, sclerosis); (ii) aggregation of module outputs into a structured 50-dimensional feature vector; (iii) dual-path KL grade classification using XGBoost (transparent, Path A) and a ConvNeXt-based hybrid deep learning model (Path B); (iv) a six-configuration ablation study quantifying per-family feature contributions; and (v) qualitative assessment of the explainability interface. All experiments used the same predefined 70:10:20 data split, with the test set held out until final evaluation.</w:t>
      </w:r>
    </w:p>
    <w:p w:rsidR="00000000" w:rsidDel="00000000" w:rsidP="00000000" w:rsidRDefault="00000000" w:rsidRPr="00000000" w14:paraId="00000307">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r>
        <w:rPr>
          <w:rFonts w:ascii="Times New Roman" w:cs="Times New Roman" w:eastAsia="Times New Roman" w:hAnsi="Times New Roman"/>
          <w:b w:val="1"/>
          <w:bCs w:val="1"/>
          <w:color w:val="303030"/>
          <w:sz w:val="26"/>
          <w:szCs w:val="26"/>
          <w:highlight w:val="white"/>
          <w:rtl w:val="0"/>
        </w:rPr>
        <w:t xml:space="preserve">3.2 Data Preprocessing</w:t>
      </w:r>
    </w:p>
    <w:p w:rsidR="00000000" w:rsidDel="00000000" w:rsidP="00000000" w:rsidRDefault="00000000" w:rsidRPr="00000000" w14:paraId="00000308">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A standardised preprocessing pipeline was applied to all images prior to model input. Contrast-Limited Adaptive Histogram Equalisation (CLAHE) was applied with a clip limit of 3.0 and tile grid size of 8 × 8 to enhance local contrast while suppressing noise amplification, consistent with KOA radiograph preprocessing protocols validated by Ahmed and Mstafa [21]. Pixel intensities were subsequently clipped at the 5th and 99th percentiles to remove outlier values, normalised to the [0, 1] range, and standardised using ImageNet channel statistics (mean = 0.485, standard deviation = 0.229) to facilitate transfer learning from pretrained ImageNet encoders.</w:t>
      </w:r>
    </w:p>
    <w:p w:rsidR="00000000" w:rsidDel="00000000" w:rsidP="00000000" w:rsidRDefault="00000000" w:rsidRPr="00000000" w14:paraId="00000309">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Data augmentation was applied exclusively during training and comprised: random rotation (±10°), horizontal flipping (p = 0.5), brightness and contrast jittering (±15%), and random affine transformations (scale ∈ [0.9, 1.1], translation ≤5%). To address the pronounced class imbalance—particularly the underrepresentation of KL grade 4 (3.0%)—an inverse-frequency weighted sampler was applied during mini-batch construction, and ordinal soft-label cross-entropy with Gaussian smoothing (σ = 0.5) was used for all KL classification targets. An important implementation distinction is maintained between inference preprocessing and display preprocessing: CLAHE and histogram clipping applied within the inference pipeline are fixed at training-time settings. Display-side enhancement options in the clinical interface operate only on a cached visualisation layer and do not alter inference results, ensuring that visual adjustment cannot change the predicted assessment.</w:t>
      </w:r>
    </w:p>
    <w:p w:rsidR="00000000" w:rsidDel="00000000" w:rsidP="00000000" w:rsidRDefault="00000000" w:rsidRPr="00000000" w14:paraId="0000030A">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A specific implementation note applies to the osteophyte module: full-image CLAHE is applied to the complete radiograph before extracting 140 × 140 pixel anatomical site patches, ensuring that osteophyte ROI patches benefit from global contrast normalisation. ROI-level CLAHE and histogram clipping are subsequently disabled during osteophyte model training to prevent double enhancement of the already-normalised patches.</w:t>
      </w:r>
    </w:p>
    <w:p w:rsidR="00000000" w:rsidDel="00000000" w:rsidP="00000000" w:rsidRDefault="00000000" w:rsidRPr="00000000" w14:paraId="0000030B">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r>
        <w:rPr>
          <w:rFonts w:ascii="Times New Roman" w:cs="Times New Roman" w:eastAsia="Times New Roman" w:hAnsi="Times New Roman"/>
          <w:b w:val="1"/>
          <w:bCs w:val="1"/>
          <w:color w:val="303030"/>
          <w:sz w:val="26"/>
          <w:szCs w:val="26"/>
          <w:highlight w:val="white"/>
          <w:rtl w:val="0"/>
        </w:rPr>
        <w:t xml:space="preserve">3.3 KL Grading of Knee Osteoarthritis Framework</w:t>
      </w:r>
    </w:p>
    <w:p w:rsidR="00000000" w:rsidDel="00000000" w:rsidP="00000000" w:rsidRDefault="00000000" w:rsidRPr="00000000" w14:paraId="0000030C">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The xrAI-OA framework decomposes the KL grading task into four sequential stages that operationalise the three cardinal radiographic features of KOA—JSN, osteophytes, and subchondral sclerosis—before integrating them for KL grade prediction and clinical explanation. Each stage employs the architecture best matched to the spatial and morphological characteristics of its corresponding radiographic finding: segmentation-based contour measurement for JSN, region-of-interest (ROI) ordinal classification for osteophytes, texture-hybrid classification for sclerosis, and feature-vector fusion for KL grading. The resulting pipeline produces not only a KL grade probability distribution but also quantitative feature measurements, spatial overlay annotations, and a structured clinical narrative report, enabling multi-layer explainability at the feature, spatial, and model levels. Figure 1 illustrates the full framework architecture.</w:t>
      </w:r>
    </w:p>
    <w:p w:rsidR="00000000" w:rsidDel="00000000" w:rsidP="00000000" w:rsidRDefault="00000000" w:rsidRPr="00000000" w14:paraId="0000030D">
      <w:pPr>
        <w:pStyle w:val="Heading3"/>
        <w:keepNext w:val="0"/>
        <w:keepLines w:val="0"/>
        <w:spacing w:after="100" w:before="200" w:line="360" w:lineRule="auto"/>
        <w:jc w:val="both"/>
        <w:rPr>
          <w:rFonts w:ascii="Times New Roman" w:cs="Times New Roman" w:eastAsia="Times New Roman" w:hAnsi="Times New Roman"/>
          <w:b w:val="1"/>
          <w:bCs w:val="1"/>
          <w:i w:val="1"/>
          <w:iCs w:val="1"/>
          <w:color w:val="303030"/>
          <w:sz w:val="24"/>
          <w:szCs w:val="24"/>
          <w:highlight w:val="white"/>
        </w:rPr>
      </w:pPr>
      <w:r>
        <w:rPr>
          <w:rFonts w:ascii="Times New Roman" w:cs="Times New Roman" w:eastAsia="Times New Roman" w:hAnsi="Times New Roman"/>
          <w:b w:val="1"/>
          <w:bCs w:val="1"/>
          <w:i w:val="1"/>
          <w:iCs w:val="1"/>
          <w:color w:val="303030"/>
          <w:sz w:val="24"/>
          <w:szCs w:val="24"/>
          <w:highlight w:val="white"/>
          <w:rtl w:val="0"/>
        </w:rPr>
        <w:t xml:space="preserve">3.3.1 Stage 1: JSN Segmentation and Quantification</w:t>
      </w:r>
    </w:p>
    <w:p w:rsidR="00000000" w:rsidDel="00000000" w:rsidP="00000000" w:rsidRDefault="00000000" w:rsidRPr="00000000" w14:paraId="0000030E">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The tibiofemoral joint space region was first localised using a YOLOv8-m (medium variant, Ultralytics) detector pretrained on COCO and fine-tuned on 500 manually annotated images, providing a cropped tibiofemoral ROI as input to the segmentation model. The joint space was then segmented using U-Net++ [22] with an EfficientNet-B4 encoder [23] pretrained on ImageNet, implemented via the segmentation_models_pytorch library. The model was configured with single-channel greyscale input and three output classes (background, medial joint space, lateral joint space). Training used DiceCE loss—combining Dice loss for spatial shape fidelity with pixel-wise cross-entropy for class balance—over 200 epochs with Adam optimiser (initial learning rate = 1 × 10⁻⁴) and a cosine annealing scheduler. The architecture choice follows the nested dense skip-connection design of U-Net++ [22], which reduces the semantic gap between encoder and decoder feature maps to improve fine boundary delineation. Self-training with pseudo-labelled expansion was evaluated as a complementary strategy; the final checkpoint was selected on the basis of minimum mJSW mean absolute error rather than Dice coefficient alone, reflecting the downstream dependence on measurement fidelity.</w:t>
      </w:r>
    </w:p>
    <w:p w:rsidR="00000000" w:rsidDel="00000000" w:rsidP="00000000" w:rsidRDefault="00000000" w:rsidRPr="00000000" w14:paraId="0000030F">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Following segmentation, femoral (inferior) and tibial (superior) articular surface contours were extracted from the predicted medial and lateral masks using morphological contour detection. For each compartment, 16 equidistant landmark pairs were sampled along the mediolateral axis and pairwise Euclidean distances between contour surfaces were computed. Compartment endpoints were trimmed to reduce false minima from edge artefacts and the intercondylar notch. The minimum joint space width (mJSW) per compartment was defined as the minimum sampled distance. Derived features included: the JSN rate per compartment, defined as the proportional deviation of mJSW from the population-reference median of KL grade 0 subjects; the medial-to-lateral JSW ratio as an asymmetry indicator; and the full 16-point JSW profile capturing spatial narrowing patterns. The final JSN feature sub-vector was 22-dimensional: two mJSW values, 16 profile samples, two JSN rates, one JSW ratio, and one asymmetry score.</w:t>
      </w:r>
    </w:p>
    <w:p w:rsidR="00000000" w:rsidDel="00000000" w:rsidP="00000000" w:rsidRDefault="00000000" w:rsidRPr="00000000" w14:paraId="00000310">
      <w:pPr>
        <w:pStyle w:val="Heading3"/>
        <w:keepNext w:val="0"/>
        <w:keepLines w:val="0"/>
        <w:spacing w:after="100" w:before="200" w:line="360" w:lineRule="auto"/>
        <w:jc w:val="both"/>
        <w:rPr>
          <w:rFonts w:ascii="Times New Roman" w:cs="Times New Roman" w:eastAsia="Times New Roman" w:hAnsi="Times New Roman"/>
          <w:b w:val="1"/>
          <w:bCs w:val="1"/>
          <w:i w:val="1"/>
          <w:iCs w:val="1"/>
          <w:color w:val="303030"/>
          <w:sz w:val="24"/>
          <w:szCs w:val="24"/>
          <w:highlight w:val="white"/>
        </w:rPr>
      </w:pPr>
      <w:r>
        <w:rPr>
          <w:rFonts w:ascii="Times New Roman" w:cs="Times New Roman" w:eastAsia="Times New Roman" w:hAnsi="Times New Roman"/>
          <w:b w:val="1"/>
          <w:bCs w:val="1"/>
          <w:i w:val="1"/>
          <w:iCs w:val="1"/>
          <w:color w:val="303030"/>
          <w:sz w:val="24"/>
          <w:szCs w:val="24"/>
          <w:highlight w:val="white"/>
          <w:rtl w:val="0"/>
        </w:rPr>
        <w:t xml:space="preserve">3.3.2 Stage 2: Osteophyte ROI Extraction and Ordinal Grading</w:t>
      </w:r>
    </w:p>
    <w:p w:rsidR="00000000" w:rsidDel="00000000" w:rsidP="00000000" w:rsidRDefault="00000000" w:rsidRPr="00000000" w14:paraId="00000311">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Osteophyte severity was graded on an OARSI-aligned ordinal scale (grade 0–3) at each of four anatomical sites (medial femur, lateral femur, medial tibia, lateral tibia). Site-specific ROI patches were localised using the same YOLOv8-m detector employed in Stage 1, here trained with four additional bounding box categories corresponding to the osteophyte assessment sites. Each detected patch was extracted at 140 × 140 pixels from the full-image CLAHE-normalised radiograph to ensure consistent contrast before site-level cropping.</w:t>
      </w:r>
    </w:p>
    <w:p w:rsidR="00000000" w:rsidDel="00000000" w:rsidP="00000000" w:rsidRDefault="00000000" w:rsidRPr="00000000" w14:paraId="00000312">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A multi-task SE-ResNet-50 architecture [24] was used for ordinal grading, following the per-site classification paradigm established by Tiulpin and Saarakkala [14]. A shared SE-ResNet-50 backbone pretrained on ImageNet extracted a common feature representation across all sites, passed to four independent site-specific linear classification heads. The Squeeze-and-Excitation mechanism recalibrates channel-wise feature responses, improving representational power for anatomically distinct ROIs with modest computational overhead [24]. Training used ordinal cross-entropy loss to penalise grading errors proportionally to their ordinal distance from the true grade. Multi-task training was used as the default configuration; site-specific fine-tuning was applied selectively to the lateral femur and medial tibia sites where held-out validation indicated that additional specialisation was beneficial. Pseudo-label expansion was evaluated for the osteophyte module, with final checkpoint selection based on held-out manual test performance to avoid teacher-bias amplification.</w:t>
      </w:r>
    </w:p>
    <w:p w:rsidR="00000000" w:rsidDel="00000000" w:rsidP="00000000" w:rsidRDefault="00000000" w:rsidRPr="00000000" w14:paraId="00000313">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The osteophyte feature sub-vector was 10-dimensional: four site-specific ordinal grades (medial femur, lateral femur, medial tibia, lateral tibia), total osteophyte burden, maximum site grade, medial composite, lateral composite, femoral composite, and tibial composite. In the clinical interface, anatomy-guided marginal focus boxes are displayed at sites with non-zero predicted grades. These boxes serve as site-level interpretability anchors indicating the anatomical region contributing to the grading decision; they are not pixel-level osteophyte boundary segmentations, consistent with the site-level supervision used for training.</w:t>
      </w:r>
    </w:p>
    <w:p w:rsidR="00000000" w:rsidDel="00000000" w:rsidP="00000000" w:rsidRDefault="00000000" w:rsidRPr="00000000" w14:paraId="00000314">
      <w:pPr>
        <w:pStyle w:val="Heading3"/>
        <w:keepNext w:val="0"/>
        <w:keepLines w:val="0"/>
        <w:spacing w:after="100" w:before="200" w:line="360" w:lineRule="auto"/>
        <w:jc w:val="both"/>
        <w:rPr>
          <w:rFonts w:ascii="Times New Roman" w:cs="Times New Roman" w:eastAsia="Times New Roman" w:hAnsi="Times New Roman"/>
          <w:b w:val="1"/>
          <w:bCs w:val="1"/>
          <w:i w:val="1"/>
          <w:iCs w:val="1"/>
          <w:color w:val="303030"/>
          <w:sz w:val="24"/>
          <w:szCs w:val="24"/>
          <w:highlight w:val="white"/>
        </w:rPr>
      </w:pPr>
      <w:r>
        <w:rPr>
          <w:rFonts w:ascii="Times New Roman" w:cs="Times New Roman" w:eastAsia="Times New Roman" w:hAnsi="Times New Roman"/>
          <w:b w:val="1"/>
          <w:bCs w:val="1"/>
          <w:i w:val="1"/>
          <w:iCs w:val="1"/>
          <w:color w:val="303030"/>
          <w:sz w:val="24"/>
          <w:szCs w:val="24"/>
          <w:highlight w:val="white"/>
          <w:rtl w:val="0"/>
        </w:rPr>
        <w:t xml:space="preserve">3.3.3 Stage 3: Subchondral Sclerosis ROI Extraction and Quantification</w:t>
      </w:r>
    </w:p>
    <w:p w:rsidR="00000000" w:rsidDel="00000000" w:rsidP="00000000" w:rsidRDefault="00000000" w:rsidRPr="00000000" w14:paraId="00000315">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Subchondral sclerosis was quantified using a hybrid approach combining handcrafted texture analysis with a CNN-based classification branch, addressing the absence of pixel-level sclerosis annotations in the available dataset. The subchondral bone ROI was automatically defined by extracting the region immediately inferior to the tibial plateau surface contour derived from the Stage 1 segmentation mask. This anatomy-guided ROI strategy follows the adaptive approach of Bayramoglu et al. [15], in which ROI boundaries are determined relative to segmented joint anatomy rather than fixed absolute dimensions, improving consistency across subjects with varying joint configurations.</w:t>
      </w:r>
    </w:p>
    <w:p w:rsidR="00000000" w:rsidDel="00000000" w:rsidP="00000000" w:rsidRDefault="00000000" w:rsidRPr="00000000" w14:paraId="00000316">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Multi-scale texture descriptors were computed from each subchondral ROI following the methodology of Bayramoglu et al. [15], who demonstrated that texture analysis of subchondral bone achieves AUC = 0.840 for OA detection from radiographs. The handcrafted feature set comprised: (a) Local Binary Patterns (LBP) at multiple radii using uniform encoding, generating rotation-invariant histograms; (b) grey-level co-occurrence matrix (GLCM) statistics—contrast, dissimilarity, homogeneity, energy, and correlation—computed at multiple distances and four angles; (c) fractal dimension via box-counting, reflecting trabecular bone microstructural complexity; and (d) first-order intensity statistics (mean and standard deviation) per compartment. All features were extracted independently for medial and lateral subchondral ROIs.</w:t>
      </w:r>
    </w:p>
    <w:p w:rsidR="00000000" w:rsidDel="00000000" w:rsidP="00000000" w:rsidRDefault="00000000" w:rsidRPr="00000000" w14:paraId="00000317">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Rather than a three-class severity scheme (none/mild/significant), the final sclerosis classifier adopted a binary formulation (none versus present), driven by empirical evidence: the three-class scheme was unstable given the limited manual annotation pool (≈500 images), producing inconsistent validation behaviour. The binary formulation yielded a more reliable classifier while still contributing structured sclerosis presence information to the downstream KL feature vector. Decision threshold optimisation was performed on the held-out validation set to maximise macro-averaged F1, yielding an optimal threshold of 0.423. Pseudo-label fine-tuning was evaluated but did not improve held-out manual test generalisation; the manual-teacher binary classifier with tuned threshold was therefore retained for all downstream use. The sclerosis feature sub-vector was 18-dimensional: two predicted presence scores (medial and lateral), two mean intensity values, two fractal dimension values, ten GLCM statistics (five per compartment), and two LBP entropy values.</w:t>
      </w:r>
    </w:p>
    <w:p w:rsidR="00000000" w:rsidDel="00000000" w:rsidP="00000000" w:rsidRDefault="00000000" w:rsidRPr="00000000" w14:paraId="00000318">
      <w:pPr>
        <w:pStyle w:val="Heading3"/>
        <w:keepNext w:val="0"/>
        <w:keepLines w:val="0"/>
        <w:spacing w:after="100" w:before="200" w:line="360" w:lineRule="auto"/>
        <w:jc w:val="both"/>
        <w:rPr>
          <w:rFonts w:ascii="Times New Roman" w:cs="Times New Roman" w:eastAsia="Times New Roman" w:hAnsi="Times New Roman"/>
          <w:b w:val="1"/>
          <w:bCs w:val="1"/>
          <w:i w:val="1"/>
          <w:iCs w:val="1"/>
          <w:color w:val="303030"/>
          <w:sz w:val="24"/>
          <w:szCs w:val="24"/>
          <w:highlight w:val="white"/>
        </w:rPr>
      </w:pPr>
      <w:r>
        <w:rPr>
          <w:rFonts w:ascii="Times New Roman" w:cs="Times New Roman" w:eastAsia="Times New Roman" w:hAnsi="Times New Roman"/>
          <w:b w:val="1"/>
          <w:bCs w:val="1"/>
          <w:i w:val="1"/>
          <w:iCs w:val="1"/>
          <w:color w:val="303030"/>
          <w:sz w:val="24"/>
          <w:szCs w:val="24"/>
          <w:highlight w:val="white"/>
          <w:rtl w:val="0"/>
        </w:rPr>
        <w:t xml:space="preserve">3.3.4 Stage 4: Feature Aggregation and KL Grade Classification</w:t>
      </w:r>
    </w:p>
    <w:p w:rsidR="00000000" w:rsidDel="00000000" w:rsidP="00000000" w:rsidRDefault="00000000" w:rsidRPr="00000000" w14:paraId="00000319">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Outputs from the three quantification modules were aggregated into a structured, normalised 50-dimensional feature vector: JSN features (22 dimensions), osteophyte features (10 dimensions), and sclerosis features (18 dimensions). Feature-wise normalisation statistics were computed on the training split and applied consistently at validation and test time to prevent data leakage.</w:t>
      </w:r>
    </w:p>
    <w:p w:rsidR="00000000" w:rsidDel="00000000" w:rsidP="00000000" w:rsidRDefault="00000000" w:rsidRPr="00000000" w14:paraId="0000031A">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b w:val="1"/>
          <w:bCs w:val="1"/>
          <w:color w:val="303030"/>
          <w:sz w:val="24"/>
          <w:szCs w:val="24"/>
          <w:highlight w:val="white"/>
          <w:rtl w:val="0"/>
        </w:rPr>
        <w:t xml:space="preserve">Path A (Transparent — XGBoost): </w:t>
      </w:r>
      <w:r>
        <w:rPr>
          <w:rFonts w:ascii="Times New Roman" w:cs="Times New Roman" w:eastAsia="Times New Roman" w:hAnsi="Times New Roman"/>
          <w:color w:val="303030"/>
          <w:sz w:val="24"/>
          <w:szCs w:val="24"/>
          <w:highlight w:val="white"/>
          <w:rtl w:val="0"/>
        </w:rPr>
        <w:t xml:space="preserve">An XGBoost gradient-boosted classifier [26] was trained on the normalised feature vector using a multi-class softmax objective, with 300 estimators, maximum tree depth of 6, learning rate of 0.05, and L1/L2 regularisation (α = 0.1, λ = 1.0). Model selection used 5-fold stratified cross-validation on the training split. Path A is the inherently interpretable KL classifier: its grade assignments are fully attributable via SHAP (SHapley Additive exPlanations) [27] values, which decompose each prediction into the contribution of individual clinical features and feature families, making the reasoning process transparent and auditable.</w:t>
      </w:r>
    </w:p>
    <w:p w:rsidR="00000000" w:rsidDel="00000000" w:rsidP="00000000" w:rsidRDefault="00000000" w:rsidRPr="00000000" w14:paraId="0000031B">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b w:val="1"/>
          <w:bCs w:val="1"/>
          <w:color w:val="303030"/>
          <w:sz w:val="24"/>
          <w:szCs w:val="24"/>
          <w:highlight w:val="white"/>
          <w:rtl w:val="0"/>
        </w:rPr>
        <w:t xml:space="preserve">Path B (Hybrid Deep — ConvNeXt + Features): </w:t>
      </w:r>
      <w:r>
        <w:rPr>
          <w:rFonts w:ascii="Times New Roman" w:cs="Times New Roman" w:eastAsia="Times New Roman" w:hAnsi="Times New Roman"/>
          <w:color w:val="303030"/>
          <w:sz w:val="24"/>
          <w:szCs w:val="24"/>
          <w:highlight w:val="white"/>
          <w:rtl w:val="0"/>
        </w:rPr>
        <w:t xml:space="preserve">A ConvNeXt-Small encoder [25] processed the full knee radiograph, producing a 768-dimensional image feature representation. Simultaneously, the 50-dimensional normalised feature vector was encoded through a two-layer MLP (hidden dimension 256, ReLU activation, dropout 0.3). Both representations were concatenated and passed through a fusion network for five-class ordinal prediction. Ordinal soft-label cross-entropy with Gaussian smoothing was used as the loss function, and the checkpoint achieving the best validation QWK was selected for evaluation. Path B preserves the structured clinical feature vector as an explicit input stream while allowing the network to exploit radiographic context not captured by handcrafted features alone.</w:t>
      </w:r>
    </w:p>
    <w:p w:rsidR="00000000" w:rsidDel="00000000" w:rsidP="00000000" w:rsidRDefault="00000000" w:rsidRPr="00000000" w14:paraId="0000031C">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Following KL grade prediction, the framework generates a structured clinical report for each case describing measured mJSW values, per-site osteophyte grades, sclerosis presence, KL grade probability distribution, and the dominant structural features contributing to the assessment. The explainability interface, implemented using Gradio, provides modular overlay toggles for JSN, osteophyte, sclerosis, and KL grade layers, and supports SHAP-based feature attribution visualisation for Path A outputs.</w:t>
      </w:r>
    </w:p>
    <w:p w:rsidR="00000000" w:rsidDel="00000000" w:rsidP="00000000" w:rsidRDefault="00000000" w:rsidRPr="00000000" w14:paraId="0000031D">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r>
        <w:rPr>
          <w:rFonts w:ascii="Times New Roman" w:cs="Times New Roman" w:eastAsia="Times New Roman" w:hAnsi="Times New Roman"/>
          <w:b w:val="1"/>
          <w:bCs w:val="1"/>
          <w:color w:val="303030"/>
          <w:sz w:val="26"/>
          <w:szCs w:val="26"/>
          <w:highlight w:val="white"/>
          <w:rtl w:val="0"/>
        </w:rPr>
        <w:t xml:space="preserve">3.4 Evaluation Strategy</w:t>
      </w:r>
    </w:p>
    <w:p w:rsidR="00000000" w:rsidDel="00000000" w:rsidP="00000000" w:rsidRDefault="00000000" w:rsidRPr="00000000" w14:paraId="0000031E">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Model performance was assessed at both component and system levels. Component-level metrics included: Dice coefficient (DSC) and 95th-percentile Hausdorff distance (HD95) for JSN segmentation; intraclass correlation coefficient (ICC) between automated and manual mJSW measurements as the primary measurement fidelity criterion; Cohen’s quadratic-weighted kappa (κ) and balanced accuracy per anatomical site for osteophyte grading; macro-averaged F1, balanced accuracy, and AUC for sclerosis binary classification; and quadratic weighted kappa (QWK), multi-class accuracy, macro-averaged F1, and macro AUC for KL grade prediction. QWK was the primary KL metric, reflecting the ordinal nature of the grading task.</w:t>
      </w:r>
    </w:p>
    <w:p w:rsidR="00000000" w:rsidDel="00000000" w:rsidP="00000000" w:rsidRDefault="00000000" w:rsidRPr="00000000" w14:paraId="0000031F">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For Path A (XGBoost), model selection used 5-fold stratified cross-validation on the training split. For Path B (ConvNeXt hybrid), the checkpoint achieving the best validation QWK was selected. Both paths were evaluated on an identical held-out test set. An ablation study evaluated six feature subset configurations (JSN only, osteophyte only, sclerosis only, osteophyte plus sclerosis, JSN plus osteophyte, and the full tri-feature vector) on Path A to quantify per-family contributions. Comparative tabular baselines included Random Forest and multilayer perceptron (MLP) classifiers trained on the same 50-dimensional feature vector. For the osteophyte and sclerosis modules, pseudo-label expansion was evaluated as a semi-supervised extension strategy, with final module selection determined by held-out manual test performance to avoid teacher-bias amplification.</w:t>
      </w:r>
    </w:p>
    <w:p w:rsidR="00000000" w:rsidDel="00000000" w:rsidP="00000000" w:rsidRDefault="00000000" w:rsidRPr="00000000" w14:paraId="00000320">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All deep learning models were implemented in PyTorch (v2.0+) with PyTorch Lightning for training orchestration. Segmentation used the segmentation_models_pytorch library; detection used Ultralytics YOLOv8; classification backbones were loaded via timm. Texture features were computed using scikit-image. XGBoost and scikit-learn were used for the transparent path and baseline experiments. Grad-CAM visualisations were generated using pytorch-grad-cam. All training was performed on a single NVIDIA GPU with mixed-precision (FP16) training.</w:t>
      </w:r>
    </w:p>
    <w:p w:rsidR="00000000" w:rsidDel="00000000" w:rsidP="00000000" w:rsidRDefault="00000000" w:rsidRPr="00000000" w14:paraId="00000321">
      <w:pPr>
        <w:pStyle w:val="Heading1"/>
        <w:keepNext w:val="0"/>
        <w:keepLines w:val="0"/>
        <w:spacing w:after="200" w:before="360" w:line="360" w:lineRule="auto"/>
        <w:jc w:val="both"/>
        <w:rPr>
          <w:rFonts w:ascii="Times New Roman" w:cs="Times New Roman" w:eastAsia="Times New Roman" w:hAnsi="Times New Roman"/>
          <w:b w:val="1"/>
          <w:bCs w:val="1"/>
          <w:color w:val="303030"/>
          <w:sz w:val="32"/>
          <w:szCs w:val="32"/>
          <w:highlight w:val="white"/>
        </w:rPr>
      </w:pPr>
      <w:r>
        <w:rPr>
          <w:rFonts w:ascii="Times New Roman" w:cs="Times New Roman" w:eastAsia="Times New Roman" w:hAnsi="Times New Roman"/>
          <w:b w:val="1"/>
          <w:bCs w:val="1"/>
          <w:color w:val="303030"/>
          <w:sz w:val="32"/>
          <w:szCs w:val="32"/>
          <w:highlight w:val="white"/>
          <w:rtl w:val="0"/>
        </w:rPr>
        <w:t xml:space="preserve">4. Experiments and Results</w:t>
      </w:r>
    </w:p>
    <w:p w:rsidR="00000000" w:rsidDel="00000000" w:rsidP="00000000" w:rsidRDefault="00000000" w:rsidRPr="00000000" w14:paraId="00000322">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r>
        <w:rPr>
          <w:rFonts w:ascii="Times New Roman" w:cs="Times New Roman" w:eastAsia="Times New Roman" w:hAnsi="Times New Roman"/>
          <w:b w:val="1"/>
          <w:bCs w:val="1"/>
          <w:color w:val="303030"/>
          <w:sz w:val="26"/>
          <w:szCs w:val="26"/>
          <w:highlight w:val="white"/>
          <w:rtl w:val="0"/>
        </w:rPr>
        <w:t xml:space="preserve">4.1 JSN Segmentation and Measurement Performance</w:t>
      </w:r>
    </w:p>
    <w:p w:rsidR="00000000" w:rsidDel="00000000" w:rsidP="00000000" w:rsidRDefault="00000000" w:rsidRPr="00000000" w14:paraId="00000323">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The U-Net++ JSN segmenter achieved a mean Dice coefficient of 0.891 (medial: 0.875, lateral: 0.906) and a mean 95th-percentile Hausdorff distance of 1.496 pixels on the annotated evaluation subset (n = 60), results comparable to the TransUNet benchmark of Guo et al. [16] (Dice = 0.889) (Table 3). For mJSW measurement fidelity, the mean absolute error between automated and manually annotated mJSW was 1.704 pixels, with intraclass correlation coefficients of 0.894 (medial compartment) and 0.841 (lateral compartment), yielding a mean ICC of 0.867 indicating good-to-excellent reproducibility. These results confirm that the segmentation-based contour measurement approach produces sufficiently accurate spatial measurements for downstream KL feature construction.</w:t>
      </w:r>
    </w:p>
    <w:p w:rsidR="00000000" w:rsidDel="00000000" w:rsidP="00000000" w:rsidRDefault="00000000" w:rsidRPr="00000000" w14:paraId="00000324">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Self-training with pseudo-label expansion was evaluated as an alternative training strategy. Although self-training marginally improved Dice on the training distribution (0.889 vs 0.890), it produced a higher mJSW MAE (1.722 vs 1.704 pixels) and slightly lower ICC (0.865 vs 0.867). Because downstream KL features depend critically on measurement fidelity rather than segmentation overlap alone, the manual-teacher checkpoint was selected for all downstream feature extraction.</w:t>
      </w:r>
    </w:p>
    <w:p w:rsidR="00000000" w:rsidDel="00000000" w:rsidP="00000000" w:rsidRDefault="00000000" w:rsidRPr="00000000" w14:paraId="00000325">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i w:val="1"/>
          <w:iCs w:val="1"/>
          <w:color w:val="303030"/>
          <w:sz w:val="24"/>
          <w:szCs w:val="24"/>
          <w:highlight w:val="white"/>
          <w:rtl w:val="0"/>
        </w:rPr>
        <w:t xml:space="preserve">Table 3. JSN module performance on the annotated evaluation subset (n = 60).</w:t>
      </w:r>
    </w:p>
    <w:tbl>
      <w:tblPr>
        <w:tblStyle w:val="Table1"/>
        <w:tblW w:w="9030" w:type="dxa"/>
        <w:jc w:val="left"/>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Pr>
      <w:tblGrid>
        <w:gridCol w:w="2500"/>
        <w:gridCol w:w="1600"/>
        <w:gridCol w:w="1500"/>
        <w:gridCol w:w="1700"/>
        <w:gridCol w:w="1730"/>
      </w:tblGrid>
      <w:tr>
        <w:tc>
          <w:tcPr>
            <w:tcW w:w="2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Model</w:t>
            </w:r>
          </w:p>
        </w:tc>
        <w:tc>
          <w:tcPr>
            <w:tcW w:w="16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Dice (mean)</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HD95 (px)</w:t>
            </w:r>
          </w:p>
        </w:tc>
        <w:tc>
          <w:tcPr>
            <w:tcW w:w="17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mJSW MAE (px)</w:t>
            </w:r>
          </w:p>
        </w:tc>
        <w:tc>
          <w:tcPr>
            <w:tcW w:w="173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mJSW ICC (mean)</w:t>
            </w:r>
          </w:p>
        </w:tc>
      </w:tr>
      <w:tr>
        <w:tc>
          <w:tcPr>
            <w:tcW w:w="2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Manual-only checkpoint</w:t>
            </w:r>
          </w:p>
        </w:tc>
        <w:tc>
          <w:tcPr>
            <w:tcW w:w="16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0.890</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1.473</w:t>
            </w:r>
          </w:p>
        </w:tc>
        <w:tc>
          <w:tcPr>
            <w:tcW w:w="17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1.702</w:t>
            </w:r>
          </w:p>
        </w:tc>
        <w:tc>
          <w:tcPr>
            <w:tcW w:w="173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0.870</w:t>
            </w:r>
          </w:p>
        </w:tc>
      </w:tr>
      <w:tr>
        <w:tc>
          <w:tcPr>
            <w:tcW w:w="2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Self-trained checkpoint</w:t>
            </w:r>
          </w:p>
        </w:tc>
        <w:tc>
          <w:tcPr>
            <w:tcW w:w="16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0.889</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1.606</w:t>
            </w:r>
          </w:p>
        </w:tc>
        <w:tc>
          <w:tcPr>
            <w:tcW w:w="17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1.722</w:t>
            </w:r>
          </w:p>
        </w:tc>
        <w:tc>
          <w:tcPr>
            <w:tcW w:w="173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0.865</w:t>
            </w:r>
          </w:p>
        </w:tc>
      </w:tr>
      <w:tr>
        <w:tc>
          <w:tcPr>
            <w:tcW w:w="2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Selected (manual)</w:t>
            </w:r>
          </w:p>
        </w:tc>
        <w:tc>
          <w:tcPr>
            <w:tcW w:w="16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0.891</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1.496</w:t>
            </w:r>
          </w:p>
        </w:tc>
        <w:tc>
          <w:tcPr>
            <w:tcW w:w="17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1.704</w:t>
            </w:r>
          </w:p>
        </w:tc>
        <w:tc>
          <w:tcPr>
            <w:tcW w:w="173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0.867</w:t>
            </w:r>
          </w:p>
        </w:tc>
      </w:tr>
    </w:tbl>
    <w:p w:rsidR="00000000" w:rsidDel="00000000" w:rsidP="00000000" w:rsidRDefault="00000000" w:rsidRPr="00000000" w14:paraId="00000326">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r>
        <w:rPr>
          <w:rFonts w:ascii="Times New Roman" w:cs="Times New Roman" w:eastAsia="Times New Roman" w:hAnsi="Times New Roman"/>
          <w:b w:val="1"/>
          <w:bCs w:val="1"/>
          <w:color w:val="303030"/>
          <w:sz w:val="26"/>
          <w:szCs w:val="26"/>
          <w:highlight w:val="white"/>
          <w:rtl w:val="0"/>
        </w:rPr>
        <w:t xml:space="preserve">4.2 Osteophyte Grading Performance</w:t>
      </w:r>
    </w:p>
    <w:p w:rsidR="00000000" w:rsidDel="00000000" w:rsidP="00000000" w:rsidRDefault="00000000" w:rsidRPr="00000000" w14:paraId="00000327">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Per-site osteophyte grading results were heterogeneous across the four anatomical sites (Table 4). The medial femur achieved the strongest held-out test kappa (κ = 0.583, AUC = 0.687), followed by medial tibia (κ = 0.471, AUC = 0.711). In contrast, the lateral femur exhibited a pronounced validation-to-test generalisation gap (κ: 0.666 vs 0.105), indicating overfitting to the small validation subset. Lateral tibia produced intermediate generalisation (κ = 0.367). The mean test kappa across sites was 0.381. Medial compartment sites generalised consistently better than lateral sites, likely reflecting the greater abundance of medial OA in the OAI cohort and correspondingly richer label coverage.</w:t>
      </w:r>
    </w:p>
    <w:p w:rsidR="00000000" w:rsidDel="00000000" w:rsidP="00000000" w:rsidRDefault="00000000" w:rsidRPr="00000000" w14:paraId="00000328">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Pseudo-label expansion improved medial femur validation kappa to 0.642 but did not produce consistent held-out test performance gains (expanded mean test κ = 0.379 vs 0.381 for manual-only), confirming that pseudo-label expansion did not overcome the underlying generalisation limitation at the lateral femur site. The manual-teacher checkpoint was therefore retained for all downstream feature extraction.</w:t>
      </w:r>
    </w:p>
    <w:p w:rsidR="00000000" w:rsidDel="00000000" w:rsidP="00000000" w:rsidRDefault="00000000" w:rsidRPr="00000000" w14:paraId="00000329">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i w:val="1"/>
          <w:iCs w:val="1"/>
          <w:color w:val="303030"/>
          <w:sz w:val="24"/>
          <w:szCs w:val="24"/>
          <w:highlight w:val="white"/>
          <w:rtl w:val="0"/>
        </w:rPr>
        <w:t xml:space="preserve">Table 4. Per-site osteophyte grading performance (manual-label framework, held-out test set, n = 75 per site).</w:t>
      </w:r>
    </w:p>
    <w:tbl>
      <w:tblPr>
        <w:tblStyle w:val="Table1"/>
        <w:tblW w:w="8200" w:type="dxa"/>
        <w:jc w:val="left"/>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Pr>
      <w:tblGrid>
        <w:gridCol w:w="1900"/>
        <w:gridCol w:w="1500"/>
        <w:gridCol w:w="1500"/>
        <w:gridCol w:w="1800"/>
        <w:gridCol w:w="1500"/>
      </w:tblGrid>
      <w:tr>
        <w:tc>
          <w:tcPr>
            <w:tcW w:w="19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Site</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Val κ</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Test κ</w:t>
            </w:r>
          </w:p>
        </w:tc>
        <w:tc>
          <w:tcPr>
            <w:tcW w:w="18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Test Bal. Acc.</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Test AUC</w:t>
            </w:r>
          </w:p>
        </w:tc>
      </w:tr>
      <w:tr>
        <w:tc>
          <w:tcPr>
            <w:tcW w:w="19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Medial femur</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0.571</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0.583</w:t>
            </w:r>
          </w:p>
        </w:tc>
        <w:tc>
          <w:tcPr>
            <w:tcW w:w="18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0.443</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0.687</w:t>
            </w:r>
          </w:p>
        </w:tc>
      </w:tr>
      <w:tr>
        <w:tc>
          <w:tcPr>
            <w:tcW w:w="19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Lateral femur</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0.666</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0.105</w:t>
            </w:r>
          </w:p>
        </w:tc>
        <w:tc>
          <w:tcPr>
            <w:tcW w:w="18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0.323</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0.562</w:t>
            </w:r>
          </w:p>
        </w:tc>
      </w:tr>
      <w:tr>
        <w:tc>
          <w:tcPr>
            <w:tcW w:w="19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Medial tibia</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0.520</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0.471</w:t>
            </w:r>
          </w:p>
        </w:tc>
        <w:tc>
          <w:tcPr>
            <w:tcW w:w="18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0.454</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0.711</w:t>
            </w:r>
          </w:p>
        </w:tc>
      </w:tr>
      <w:tr>
        <w:tc>
          <w:tcPr>
            <w:tcW w:w="19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Lateral tibia</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0.665</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0.367</w:t>
            </w:r>
          </w:p>
        </w:tc>
        <w:tc>
          <w:tcPr>
            <w:tcW w:w="18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0.455</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0.677</w:t>
            </w:r>
          </w:p>
        </w:tc>
      </w:tr>
      <w:tr>
        <w:tc>
          <w:tcPr>
            <w:tcW w:w="19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Mean</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0.381</w:t>
            </w:r>
          </w:p>
        </w:tc>
        <w:tc>
          <w:tcPr>
            <w:tcW w:w="18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w:t>
            </w:r>
          </w:p>
        </w:tc>
      </w:tr>
    </w:tbl>
    <w:p w:rsidR="00000000" w:rsidDel="00000000" w:rsidP="00000000" w:rsidRDefault="00000000" w:rsidRPr="00000000" w14:paraId="0000032A">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r>
        <w:rPr>
          <w:rFonts w:ascii="Times New Roman" w:cs="Times New Roman" w:eastAsia="Times New Roman" w:hAnsi="Times New Roman"/>
          <w:b w:val="1"/>
          <w:bCs w:val="1"/>
          <w:color w:val="303030"/>
          <w:sz w:val="26"/>
          <w:szCs w:val="26"/>
          <w:highlight w:val="white"/>
          <w:rtl w:val="0"/>
        </w:rPr>
        <w:t xml:space="preserve">4.3 Subchondral Sclerosis Binary Classification Performance</w:t>
      </w:r>
    </w:p>
    <w:p w:rsidR="00000000" w:rsidDel="00000000" w:rsidP="00000000" w:rsidRDefault="00000000" w:rsidRPr="00000000" w14:paraId="0000032B">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Following empirical evaluation of three-class versus binary classification, the binary formulation (none versus present) was adopted as the final configuration. Binary threshold optimisation on the validation set (n = 150) identified an optimal decision threshold of 0.423, maximising macro-averaged F1 (Table 5). On the validation set, the tuned classifier achieved accuracy of 62.7%, balanced accuracy of 62.3%, macro F1 of 0.621, and AUC of 0.671. Test performance was 58.0% accuracy, 57.9% balanced accuracy, macro F1 of 0.578, and AUC of 0.611.</w:t>
      </w:r>
    </w:p>
    <w:p w:rsidR="00000000" w:rsidDel="00000000" w:rsidP="00000000" w:rsidRDefault="00000000" w:rsidRPr="00000000" w14:paraId="0000032C">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Comparison against five conventional texture-based classifiers on the same feature representation confirmed that the hybrid approach was competitive with the strongest classical baseline (Extra Trees: test macro F1 = 0.570, AUC = 0.620). These results indicate that the sclerosis module provides a usable binary signal for downstream KL feature integration. The modest absolute performance reflects the intrinsically diffuse nature of subchondral sclerosis, limited annotation volume, and the constraints of 224 × 224 pixel resolution without calibrated pixel spacing, rather than a fundamental methodological failure.</w:t>
      </w:r>
    </w:p>
    <w:p w:rsidR="00000000" w:rsidDel="00000000" w:rsidP="00000000" w:rsidRDefault="00000000" w:rsidRPr="00000000" w14:paraId="0000032D">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i w:val="1"/>
          <w:iCs w:val="1"/>
          <w:color w:val="303030"/>
          <w:sz w:val="24"/>
          <w:szCs w:val="24"/>
          <w:highlight w:val="white"/>
          <w:rtl w:val="0"/>
        </w:rPr>
        <w:t xml:space="preserve">Table 5. Subchondral sclerosis binary classification performance (threshold = 0.423, n = 150 per split).</w:t>
      </w:r>
    </w:p>
    <w:tbl>
      <w:tblPr>
        <w:tblStyle w:val="Table1"/>
        <w:tblW w:w="8200" w:type="dxa"/>
        <w:jc w:val="left"/>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Pr>
      <w:tblGrid>
        <w:gridCol w:w="2100"/>
        <w:gridCol w:w="1600"/>
        <w:gridCol w:w="1700"/>
        <w:gridCol w:w="1500"/>
        <w:gridCol w:w="1300"/>
      </w:tblGrid>
      <w:tr>
        <w:tc>
          <w:tcPr>
            <w:tcW w:w="21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Split</w:t>
            </w:r>
          </w:p>
        </w:tc>
        <w:tc>
          <w:tcPr>
            <w:tcW w:w="16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Accuracy</w:t>
            </w:r>
          </w:p>
        </w:tc>
        <w:tc>
          <w:tcPr>
            <w:tcW w:w="17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Balanced Acc.</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F1-macro</w:t>
            </w:r>
          </w:p>
        </w:tc>
        <w:tc>
          <w:tcPr>
            <w:tcW w:w="13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AUC</w:t>
            </w:r>
          </w:p>
        </w:tc>
      </w:tr>
      <w:tr>
        <w:tc>
          <w:tcPr>
            <w:tcW w:w="21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Validation</w:t>
            </w:r>
          </w:p>
        </w:tc>
        <w:tc>
          <w:tcPr>
            <w:tcW w:w="16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0.627</w:t>
            </w:r>
          </w:p>
        </w:tc>
        <w:tc>
          <w:tcPr>
            <w:tcW w:w="17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0.623</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0.621</w:t>
            </w:r>
          </w:p>
        </w:tc>
        <w:tc>
          <w:tcPr>
            <w:tcW w:w="13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0.671</w:t>
            </w:r>
          </w:p>
        </w:tc>
      </w:tr>
      <w:tr>
        <w:tc>
          <w:tcPr>
            <w:tcW w:w="21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Test</w:t>
            </w:r>
          </w:p>
        </w:tc>
        <w:tc>
          <w:tcPr>
            <w:tcW w:w="16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0.580</w:t>
            </w:r>
          </w:p>
        </w:tc>
        <w:tc>
          <w:tcPr>
            <w:tcW w:w="17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0.579</w:t>
            </w:r>
          </w:p>
        </w:tc>
        <w:tc>
          <w:tcPr>
            <w:tcW w:w="15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0.578</w:t>
            </w:r>
          </w:p>
        </w:tc>
        <w:tc>
          <w:tcPr>
            <w:tcW w:w="13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0.611</w:t>
            </w:r>
          </w:p>
        </w:tc>
      </w:tr>
    </w:tbl>
    <w:p w:rsidR="00000000" w:rsidDel="00000000" w:rsidP="00000000" w:rsidRDefault="00000000" w:rsidRPr="00000000" w14:paraId="0000032E">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r>
        <w:rPr>
          <w:rFonts w:ascii="Times New Roman" w:cs="Times New Roman" w:eastAsia="Times New Roman" w:hAnsi="Times New Roman"/>
          <w:b w:val="1"/>
          <w:bCs w:val="1"/>
          <w:color w:val="303030"/>
          <w:sz w:val="26"/>
          <w:szCs w:val="26"/>
          <w:highlight w:val="white"/>
          <w:rtl w:val="0"/>
        </w:rPr>
        <w:t xml:space="preserve">4.4 KL Grade Classification Performance</w:t>
      </w:r>
    </w:p>
    <w:p w:rsidR="00000000" w:rsidDel="00000000" w:rsidP="00000000" w:rsidRDefault="00000000" w:rsidRPr="00000000" w14:paraId="0000032F">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Table 6 summarises KL grade classification performance across all evaluated models. The XGBoost transparent classifier (Path A) achieved a 5-fold cross-validation QWK of 0.647 ± 0.011 on the training split and a test QWK of 0.629, with overall accuracy of 54.0% and macro F1 of 0.524. Random Forest and MLP baselines trained on the same 50-dimensional feature vector achieved test QWKs of 0.635 and 0.593, respectively, with the Random Forest slightly outperforming XGBoost on this metric while remaining substantially below the hybrid model.</w:t>
      </w:r>
    </w:p>
    <w:p w:rsidR="00000000" w:rsidDel="00000000" w:rsidP="00000000" w:rsidRDefault="00000000" w:rsidRPr="00000000" w14:paraId="00000330">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The ConvNeXt hybrid (Path B) substantially outperformed all tabular models: validation QWK of 0.797 and test QWK of 0.844, with accuracy of 66.4%, macro F1 of 0.669, and macro AUC of 0.902. Per-class test F1 for Path B showed consistent improvement over Path A across all grades, with the most notable gains for KL2 (F1 = 0.647 vs 0.429) and KL0 (F1 = 0.781 vs 0.641). KL grade 1 remained the most challenging class for both paths—Path A: F1 = 0.082; Path B: F1 = 0.380—consistent with the inherent diagnostic ambiguity of the doubtful disease category, which is defined by possible osteophytes and no definite JSN [4].</w:t>
      </w:r>
    </w:p>
    <w:p w:rsidR="00000000" w:rsidDel="00000000" w:rsidP="00000000" w:rsidRDefault="00000000" w:rsidRPr="00000000" w14:paraId="00000331">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i w:val="1"/>
          <w:iCs w:val="1"/>
          <w:color w:val="303030"/>
          <w:sz w:val="24"/>
          <w:szCs w:val="24"/>
          <w:highlight w:val="white"/>
          <w:rtl w:val="0"/>
        </w:rPr>
        <w:t xml:space="preserve">Table 6. KL grade classification performance. CV = 5-fold cross-validation (training split only).</w:t>
      </w:r>
    </w:p>
    <w:tbl>
      <w:tblPr>
        <w:tblStyle w:val="Table1"/>
        <w:tblW w:w="9530" w:type="dxa"/>
        <w:jc w:val="left"/>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Pr>
      <w:tblGrid>
        <w:gridCol w:w="2300"/>
        <w:gridCol w:w="1400"/>
        <w:gridCol w:w="1300"/>
        <w:gridCol w:w="1200"/>
        <w:gridCol w:w="1700"/>
        <w:gridCol w:w="1630"/>
      </w:tblGrid>
      <w:tr>
        <w:tc>
          <w:tcPr>
            <w:tcW w:w="23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Model</w:t>
            </w:r>
          </w:p>
        </w:tc>
        <w:tc>
          <w:tcPr>
            <w:tcW w:w="14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Val QWK</w:t>
            </w:r>
          </w:p>
        </w:tc>
        <w:tc>
          <w:tcPr>
            <w:tcW w:w="13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Test QWK</w:t>
            </w:r>
          </w:p>
        </w:tc>
        <w:tc>
          <w:tcPr>
            <w:tcW w:w="12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Test Acc.</w:t>
            </w:r>
          </w:p>
        </w:tc>
        <w:tc>
          <w:tcPr>
            <w:tcW w:w="17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Test F1-macro</w:t>
            </w:r>
          </w:p>
        </w:tc>
        <w:tc>
          <w:tcPr>
            <w:tcW w:w="163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Test AUC-macro</w:t>
            </w:r>
          </w:p>
        </w:tc>
      </w:tr>
      <w:tr>
        <w:tc>
          <w:tcPr>
            <w:tcW w:w="23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Random Forest (baseline)</w:t>
            </w:r>
          </w:p>
        </w:tc>
        <w:tc>
          <w:tcPr>
            <w:tcW w:w="14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w:t>
            </w:r>
          </w:p>
        </w:tc>
        <w:tc>
          <w:tcPr>
            <w:tcW w:w="13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0.635</w:t>
            </w:r>
          </w:p>
        </w:tc>
        <w:tc>
          <w:tcPr>
            <w:tcW w:w="12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0.540</w:t>
            </w:r>
          </w:p>
        </w:tc>
        <w:tc>
          <w:tcPr>
            <w:tcW w:w="17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0.508</w:t>
            </w:r>
          </w:p>
        </w:tc>
        <w:tc>
          <w:tcPr>
            <w:tcW w:w="163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0.809</w:t>
            </w:r>
          </w:p>
        </w:tc>
      </w:tr>
      <w:tr>
        <w:tc>
          <w:tcPr>
            <w:tcW w:w="23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MLP (baseline)</w:t>
            </w:r>
          </w:p>
        </w:tc>
        <w:tc>
          <w:tcPr>
            <w:tcW w:w="14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w:t>
            </w:r>
          </w:p>
        </w:tc>
        <w:tc>
          <w:tcPr>
            <w:tcW w:w="13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0.593</w:t>
            </w:r>
          </w:p>
        </w:tc>
        <w:tc>
          <w:tcPr>
            <w:tcW w:w="12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0.476</w:t>
            </w:r>
          </w:p>
        </w:tc>
        <w:tc>
          <w:tcPr>
            <w:tcW w:w="17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0.499</w:t>
            </w:r>
          </w:p>
        </w:tc>
        <w:tc>
          <w:tcPr>
            <w:tcW w:w="163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0.773</w:t>
            </w:r>
          </w:p>
        </w:tc>
      </w:tr>
      <w:tr>
        <w:tc>
          <w:tcPr>
            <w:tcW w:w="23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XGBoost — Path A</w:t>
            </w:r>
          </w:p>
        </w:tc>
        <w:tc>
          <w:tcPr>
            <w:tcW w:w="14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0.647 (CV)</w:t>
            </w:r>
          </w:p>
        </w:tc>
        <w:tc>
          <w:tcPr>
            <w:tcW w:w="13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0.629</w:t>
            </w:r>
          </w:p>
        </w:tc>
        <w:tc>
          <w:tcPr>
            <w:tcW w:w="12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0.540</w:t>
            </w:r>
          </w:p>
        </w:tc>
        <w:tc>
          <w:tcPr>
            <w:tcW w:w="17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0.524</w:t>
            </w:r>
          </w:p>
        </w:tc>
        <w:tc>
          <w:tcPr>
            <w:tcW w:w="163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w:t>
            </w:r>
          </w:p>
        </w:tc>
      </w:tr>
      <w:tr>
        <w:tc>
          <w:tcPr>
            <w:tcW w:w="23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ConvNeXt Hybrid — Path B</w:t>
            </w:r>
          </w:p>
        </w:tc>
        <w:tc>
          <w:tcPr>
            <w:tcW w:w="14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0.797</w:t>
            </w:r>
          </w:p>
        </w:tc>
        <w:tc>
          <w:tcPr>
            <w:tcW w:w="13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0.844</w:t>
            </w:r>
          </w:p>
        </w:tc>
        <w:tc>
          <w:tcPr>
            <w:tcW w:w="12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0.664</w:t>
            </w:r>
          </w:p>
        </w:tc>
        <w:tc>
          <w:tcPr>
            <w:tcW w:w="17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0.669</w:t>
            </w:r>
          </w:p>
        </w:tc>
        <w:tc>
          <w:tcPr>
            <w:tcW w:w="163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0.902</w:t>
            </w:r>
          </w:p>
        </w:tc>
      </w:tr>
    </w:tbl>
    <w:p w:rsidR="00000000" w:rsidDel="00000000" w:rsidP="00000000" w:rsidRDefault="00000000" w:rsidRPr="00000000" w14:paraId="00000332">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r>
        <w:rPr>
          <w:rFonts w:ascii="Times New Roman" w:cs="Times New Roman" w:eastAsia="Times New Roman" w:hAnsi="Times New Roman"/>
          <w:b w:val="1"/>
          <w:bCs w:val="1"/>
          <w:color w:val="303030"/>
          <w:sz w:val="26"/>
          <w:szCs w:val="26"/>
          <w:highlight w:val="white"/>
          <w:rtl w:val="0"/>
        </w:rPr>
        <w:t xml:space="preserve">4.5 Ablation Study</w:t>
      </w:r>
    </w:p>
    <w:p w:rsidR="00000000" w:rsidDel="00000000" w:rsidP="00000000" w:rsidRDefault="00000000" w:rsidRPr="00000000" w14:paraId="00000333">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To quantify the marginal contribution of each feature family to KL prediction under Path A, six feature subset configurations were evaluated on the held-out test set (Table 7). JSN features alone produced the strongest single-family performance (QWK = 0.610), substantially outperforming osteophyte-only (QWK = 0.408) and sclerosis-only (QWK = 0.240) subsets. Adding osteophyte features to JSN produced a consistent and meaningful incremental gain (QWK: 0.629 vs 0.610, Δ = +0.019), confirming that osteophyte burden features carry independent KL-predictive information beyond the JSW profile. The addition of sclerosis to the full tri-feature vector over JSN + osteophyte provided only marginal further improvement (ΔQWK &lt; 0.001), reflecting the constrained sclerosis signal available in the current data regime. The osteophyte and sclerosis combination without JSN performed poorly (QWK = 0.426), confirming JSN as the primary tabular predictor of KL severity.</w:t>
      </w:r>
    </w:p>
    <w:p w:rsidR="00000000" w:rsidDel="00000000" w:rsidP="00000000" w:rsidRDefault="00000000" w:rsidRPr="00000000" w14:paraId="00000334">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i w:val="1"/>
          <w:iCs w:val="1"/>
          <w:color w:val="303030"/>
          <w:sz w:val="24"/>
          <w:szCs w:val="24"/>
          <w:highlight w:val="white"/>
          <w:rtl w:val="0"/>
        </w:rPr>
        <w:t xml:space="preserve">Table 7. Feature ablation study (XGBoost Path A, held-out test set, n = 1,656).</w:t>
      </w:r>
    </w:p>
    <w:tbl>
      <w:tblPr>
        <w:tblStyle w:val="Table1"/>
        <w:tblW w:w="9030" w:type="dxa"/>
        <w:jc w:val="left"/>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Pr>
      <w:tblGrid>
        <w:gridCol w:w="4200"/>
        <w:gridCol w:w="2300"/>
        <w:gridCol w:w="2530"/>
      </w:tblGrid>
      <w:tr>
        <w:tc>
          <w:tcPr>
            <w:tcW w:w="42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Feature configuration</w:t>
            </w:r>
          </w:p>
        </w:tc>
        <w:tc>
          <w:tcPr>
            <w:tcW w:w="23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Test QWK</w:t>
            </w:r>
          </w:p>
        </w:tc>
        <w:tc>
          <w:tcPr>
            <w:tcW w:w="253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b w:val="1"/>
                <w:bCs w:val="1"/>
                <w:color w:val="303030"/>
                <w:sz w:val="22"/>
                <w:szCs w:val="22"/>
                <w:highlight w:val="white"/>
                <w:rtl w:val="0"/>
              </w:rPr>
              <w:t xml:space="preserve">Test Accuracy</w:t>
            </w:r>
          </w:p>
        </w:tc>
      </w:tr>
      <w:tr>
        <w:tc>
          <w:tcPr>
            <w:tcW w:w="42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JSN only</w:t>
            </w:r>
          </w:p>
        </w:tc>
        <w:tc>
          <w:tcPr>
            <w:tcW w:w="23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0.610</w:t>
            </w:r>
          </w:p>
        </w:tc>
        <w:tc>
          <w:tcPr>
            <w:tcW w:w="253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0.524</w:t>
            </w:r>
          </w:p>
        </w:tc>
      </w:tr>
      <w:tr>
        <w:tc>
          <w:tcPr>
            <w:tcW w:w="42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Osteophyte only</w:t>
            </w:r>
          </w:p>
        </w:tc>
        <w:tc>
          <w:tcPr>
            <w:tcW w:w="23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0.408</w:t>
            </w:r>
          </w:p>
        </w:tc>
        <w:tc>
          <w:tcPr>
            <w:tcW w:w="253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0.431</w:t>
            </w:r>
          </w:p>
        </w:tc>
      </w:tr>
      <w:tr>
        <w:tc>
          <w:tcPr>
            <w:tcW w:w="42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Sclerosis only</w:t>
            </w:r>
          </w:p>
        </w:tc>
        <w:tc>
          <w:tcPr>
            <w:tcW w:w="23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0.240</w:t>
            </w:r>
          </w:p>
        </w:tc>
        <w:tc>
          <w:tcPr>
            <w:tcW w:w="253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0.387</w:t>
            </w:r>
          </w:p>
        </w:tc>
      </w:tr>
      <w:tr>
        <w:tc>
          <w:tcPr>
            <w:tcW w:w="42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Osteophyte + sclerosis</w:t>
            </w:r>
          </w:p>
        </w:tc>
        <w:tc>
          <w:tcPr>
            <w:tcW w:w="23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0.426</w:t>
            </w:r>
          </w:p>
        </w:tc>
        <w:tc>
          <w:tcPr>
            <w:tcW w:w="253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0.428</w:t>
            </w:r>
          </w:p>
        </w:tc>
      </w:tr>
      <w:tr>
        <w:tc>
          <w:tcPr>
            <w:tcW w:w="42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JSN + osteophyte</w:t>
            </w:r>
          </w:p>
        </w:tc>
        <w:tc>
          <w:tcPr>
            <w:tcW w:w="23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0.629</w:t>
            </w:r>
          </w:p>
        </w:tc>
        <w:tc>
          <w:tcPr>
            <w:tcW w:w="253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0.539</w:t>
            </w:r>
          </w:p>
        </w:tc>
      </w:tr>
      <w:tr>
        <w:tc>
          <w:tcPr>
            <w:tcW w:w="42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JSN + osteophyte + sclerosis (full)</w:t>
            </w:r>
          </w:p>
        </w:tc>
        <w:tc>
          <w:tcPr>
            <w:tcW w:w="230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0.629</w:t>
            </w:r>
          </w:p>
        </w:tc>
        <w:tc>
          <w:tcPr>
            <w:tcW w:w="2530" w:type="dxa"/>
            <w:tcBorders>
              <w:top w:color="000000" w:space="0" w:sz="8" w:val="single"/>
              <w:left w:color="000000" w:space="0" w:sz="8" w:val="single"/>
              <w:bottom w:color="000000" w:space="0" w:sz="8" w:val="single"/>
              <w:right w:color="000000" w:space="0" w:sz="8" w:val="single"/>
            </w:tcBorders>
            <w:shd w:val="clear" w:color="auto" w:fill="auto"/>
            <w:tcMar>
              <w:top w:w="80" w:type="dxa"/>
              <w:left w:w="108" w:type="dxa"/>
              <w:bottom w:w="80" w:type="dxa"/>
              <w:right w:w="108" w:type="dxa"/>
            </w:tcMar>
          </w:tcPr>
          <w:p>
            <w:pPr>
              <w:spacing w:after="60" w:line="280" w:lineRule="auto"/>
            </w:pPr>
            <w:r>
              <w:rPr>
                <w:rFonts w:ascii="Times New Roman" w:cs="Times New Roman" w:eastAsia="Times New Roman" w:hAnsi="Times New Roman"/>
                <w:color w:val="303030"/>
                <w:sz w:val="22"/>
                <w:szCs w:val="22"/>
                <w:highlight w:val="white"/>
                <w:rtl w:val="0"/>
              </w:rPr>
              <w:t xml:space="preserve">0.540</w:t>
            </w:r>
          </w:p>
        </w:tc>
      </w:tr>
    </w:tbl>
    <w:p w:rsidR="00000000" w:rsidDel="00000000" w:rsidP="00000000" w:rsidRDefault="00000000" w:rsidRPr="00000000" w14:paraId="00000335">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r>
        <w:rPr>
          <w:rFonts w:ascii="Times New Roman" w:cs="Times New Roman" w:eastAsia="Times New Roman" w:hAnsi="Times New Roman"/>
          <w:b w:val="1"/>
          <w:bCs w:val="1"/>
          <w:color w:val="303030"/>
          <w:sz w:val="26"/>
          <w:szCs w:val="26"/>
          <w:highlight w:val="white"/>
          <w:rtl w:val="0"/>
        </w:rPr>
        <w:t xml:space="preserve">4.6 Explainability Interface</w:t>
      </w:r>
    </w:p>
    <w:p w:rsidR="00000000" w:rsidDel="00000000" w:rsidP="00000000" w:rsidRDefault="00000000" w:rsidRPr="00000000" w14:paraId="00000336">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The xrAI-OA framework provides three layers of clinical explainability that operate jointly to bridge the gap between model output and clinical reasoning. At the feature level, the 50-dimensional feature vector directly maps each element to a named clinical concept: measured mJSW values for each compartment, per-site osteophyte grades on an OARSI-like ordinal scale (0–3), and binary sclerosis presence for medial and lateral subchondral regions. These values are reported numerically in the clinical interface alongside each predicted KL grade probability distribution, providing a clinician-readable structural summary independent of any black-box image-to-label mapping.</w:t>
      </w:r>
    </w:p>
    <w:p w:rsidR="00000000" w:rsidDel="00000000" w:rsidP="00000000" w:rsidRDefault="00000000" w:rsidRPr="00000000" w14:paraId="00000337">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At the spatial level, the annotated radiograph overlay displays three concurrent visualisation layers: (i) contour-derived distance measurements marked at the medial and lateral joint spaces, with colour intensity proportional to narrowing severity relative to the KL0 reference; (ii) anatomy-guided marginal focus boxes at osteophyte assessment sites colour-coded by predicted grade (no marking for grade 0, green for grade 1, amber for grade 2, red for grade 3); and (iii) a subchondral bone region indicator marking sclerosis presence over the affected compartment. All spatial markings reflect directly measured or classified findings, not post-hoc gradient attribution. Layer toggles allow the clinician to selectively enable or disable JSN, osteophyte, sclerosis, and KL badge overlays for uncluttered inspection.</w:t>
      </w:r>
    </w:p>
    <w:p w:rsidR="00000000" w:rsidDel="00000000" w:rsidP="00000000" w:rsidRDefault="00000000" w:rsidRPr="00000000" w14:paraId="00000338">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At the model level, Path A supports SHAP-based feature attribution, which decomposes each KL grade prediction into per-feature Shapley contributions. SHAP values quantify the direction and magnitude of each clinical feature’s contribution to the predicted grade relative to the model’s expected output, providing a feature-level explanation that is both mathematically grounded and clinically interpretable [27]. Global SHAP importance analysis confirmed that JSN features (particularly medial mJSW and the medial JSN rate) dominate the XGBoost model’s grade assignments, consistent with the ablation results, while osteophyte burden features ranked second in overall importance.</w:t>
      </w:r>
    </w:p>
    <w:p w:rsidR="00000000" w:rsidDel="00000000" w:rsidP="00000000" w:rsidRDefault="00000000" w:rsidRPr="00000000" w14:paraId="00000339">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A structured template-based clinical report is automatically generated for each case, describing measured findings and predicted grade in accessible language: medial and lateral mJSW values, per-site osteophyte grades, sclerosis presence, the KL grade probability distribution, and the structural features most strongly driving the assessment. The report is designed to support non-specialist physicians in interpreting the structured outputs without requiring specialised AI expertise. Display-side preprocessing controls (CLAHE, histogram clipping) operate only on the cached visualisation overlay and do not alter the inference pipeline, ensuring that visual adjustment cannot inadvertently change the predicted grade.</w:t>
      </w:r>
    </w:p>
    <w:p w:rsidR="00000000" w:rsidDel="00000000" w:rsidP="00000000" w:rsidRDefault="00000000" w:rsidRPr="00000000" w14:paraId="0000033A">
      <w:pPr>
        <w:pStyle w:val="Heading1"/>
        <w:keepNext w:val="0"/>
        <w:keepLines w:val="0"/>
        <w:spacing w:after="200" w:before="360" w:line="360" w:lineRule="auto"/>
        <w:jc w:val="both"/>
        <w:rPr>
          <w:rFonts w:ascii="Times New Roman" w:cs="Times New Roman" w:eastAsia="Times New Roman" w:hAnsi="Times New Roman"/>
          <w:b w:val="1"/>
          <w:bCs w:val="1"/>
          <w:color w:val="303030"/>
          <w:sz w:val="32"/>
          <w:szCs w:val="32"/>
          <w:highlight w:val="white"/>
        </w:rPr>
      </w:pPr>
      <w:r>
        <w:rPr>
          <w:rFonts w:ascii="Times New Roman" w:cs="Times New Roman" w:eastAsia="Times New Roman" w:hAnsi="Times New Roman"/>
          <w:b w:val="1"/>
          <w:bCs w:val="1"/>
          <w:color w:val="303030"/>
          <w:sz w:val="32"/>
          <w:szCs w:val="32"/>
          <w:highlight w:val="white"/>
          <w:rtl w:val="0"/>
        </w:rPr>
        <w:t xml:space="preserve">5. Discussion</w:t>
      </w:r>
    </w:p>
    <w:p w:rsidR="00000000" w:rsidDel="00000000" w:rsidP="00000000" w:rsidRDefault="00000000" w:rsidRPr="00000000" w14:paraId="0000033B">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r>
        <w:rPr>
          <w:rFonts w:ascii="Times New Roman" w:cs="Times New Roman" w:eastAsia="Times New Roman" w:hAnsi="Times New Roman"/>
          <w:b w:val="1"/>
          <w:bCs w:val="1"/>
          <w:color w:val="303030"/>
          <w:sz w:val="26"/>
          <w:szCs w:val="26"/>
          <w:highlight w:val="white"/>
          <w:rtl w:val="0"/>
        </w:rPr>
        <w:t xml:space="preserve">5.1 Principal Findings</w:t>
      </w:r>
    </w:p>
    <w:p w:rsidR="00000000" w:rsidDel="00000000" w:rsidP="00000000" w:rsidRDefault="00000000" w:rsidRPr="00000000" w14:paraId="0000033C">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This study presented xrAI-OA, a modular pipeline for explainable KOA severity assessment that independently quantifies JSN, osteophytes, and subchondral sclerosis before integrating them into a dual-path KL grade classifier. Five principal findings emerge. First, JSN segmentation achieved good-to-excellent agreement with manual contour annotations (Dice = 0.891, mJSW ICC = 0.867), demonstrating that the U-Net++ segmentation and contour-based measurement approach produces reliable spatial measurements suitable for downstream clinical feature construction. Second, osteophyte grading performance was heterogeneous by anatomical site, with medial compartment sites generalising substantially better than the lateral femur, highlighting both the feasibility and current limits of per-ROI ordinal grading from limited annotations. Third, the binary sclerosis classifier provided a usable signal within its scope (AUC = 0.611 at test), though it remains the weakest component owing to the diffuse nature of the feature and annotation constraints. Fourth, the ConvNeXt hybrid path achieved strong KL grading performance (test QWK = 0.844, AUC = 0.902), substantially outperforming the transparent XGBoost path (test QWK = 0.629) while preserving structured clinical features as an explicit input. Fifth, the ablation study confirmed JSN as the dominant feature family for tabular KL prediction, with osteophytes contributing a consistent incremental gain and sclerosis adding marginal signal in the current data regime.</w:t>
      </w:r>
    </w:p>
    <w:p w:rsidR="00000000" w:rsidDel="00000000" w:rsidP="00000000" w:rsidRDefault="00000000" w:rsidRPr="00000000" w14:paraId="0000033D">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r>
        <w:rPr>
          <w:rFonts w:ascii="Times New Roman" w:cs="Times New Roman" w:eastAsia="Times New Roman" w:hAnsi="Times New Roman"/>
          <w:b w:val="1"/>
          <w:bCs w:val="1"/>
          <w:color w:val="303030"/>
          <w:sz w:val="26"/>
          <w:szCs w:val="26"/>
          <w:highlight w:val="white"/>
          <w:rtl w:val="0"/>
        </w:rPr>
        <w:t xml:space="preserve">5.2 The Dominant Role of JSN in KL Prediction</w:t>
      </w:r>
    </w:p>
    <w:p w:rsidR="00000000" w:rsidDel="00000000" w:rsidP="00000000" w:rsidRDefault="00000000" w:rsidRPr="00000000" w14:paraId="0000033E">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The ablation results are consistent with the clinical logic of the Kellgren–Lawrence system: joint space narrowing is the most operationally decisive criterion, as grades 2–4 are defined by definite or severe JSN [4]. The strong JSN–KL association observed here aligns with prior quantitative JSW research [16], which demonstrated that automated mJSW is sufficiently accurate for longitudinal structural monitoring. The 16-point JSW profile implemented in xrAI-OA extends beyond a scalar mJSW measurement by preserving spatial narrowing patterns across the mediolateral joint width, potentially differentiating focal from global narrowing. The consistent incremental contribution of osteophyte features over JSN alone (ΔQWK = +0.019) confirms that osteophyte burden carries independent predictive information not fully captured by the JSW profile, consistent with the multi-feature definition of KL grading.</w:t>
      </w:r>
    </w:p>
    <w:p w:rsidR="00000000" w:rsidDel="00000000" w:rsidP="00000000" w:rsidRDefault="00000000" w:rsidRPr="00000000" w14:paraId="0000033F">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r>
        <w:rPr>
          <w:rFonts w:ascii="Times New Roman" w:cs="Times New Roman" w:eastAsia="Times New Roman" w:hAnsi="Times New Roman"/>
          <w:b w:val="1"/>
          <w:bCs w:val="1"/>
          <w:color w:val="303030"/>
          <w:sz w:val="26"/>
          <w:szCs w:val="26"/>
          <w:highlight w:val="white"/>
          <w:rtl w:val="0"/>
        </w:rPr>
        <w:t xml:space="preserve">5.3 Osteophyte Grading: Capability and Limitations</w:t>
      </w:r>
    </w:p>
    <w:p w:rsidR="00000000" w:rsidDel="00000000" w:rsidP="00000000" w:rsidRDefault="00000000" w:rsidRPr="00000000" w14:paraId="00000340">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The per-site osteophyte results reveal an important empirical finding: grading performance is markedly site-dependent. Medial femur and medial tibia achieved moderate kappa values (κ = 0.583 and 0.471, respectively), whereas the lateral femur exhibited a pronounced validation-to-test generalisation gap (κ: 0.666 vs 0.105), indicating overfitting to the small validation subset. This is attributable to the combined effect of limited per-site annotation volume, inter-annotator variability in applying OARSI-like grades to 224 × 224 pixel projections, and the inherent ambiguity of lateral femoral osteophytes in two-dimensional radiographic projections where marginal bony spurs may be partially obscured by overlying soft tissue. Pseudo-label expansion did not reliably improve held-out generalisation, consistent with the known risk of teacher-bias amplification in pseudo-labelling under small-data settings.</w:t>
      </w:r>
    </w:p>
    <w:p w:rsidR="00000000" w:rsidDel="00000000" w:rsidP="00000000" w:rsidRDefault="00000000" w:rsidRPr="00000000" w14:paraId="00000341">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Despite these limitations, osteophyte features remain a clinically necessary component of the framework. The ablation results confirm that osteophyte burden features improve tabular KL prediction over JSN alone, and the per-site grading structure aligns the pipeline with the OARSI feature atlas used in radiological practice. Future work should prioritise collection of larger, expert-annotated multi-reader osteophyte datasets and exploration of weakly supervised or semi-supervised grading strategies to address the lateral site generalisation gap.</w:t>
      </w:r>
    </w:p>
    <w:p w:rsidR="00000000" w:rsidDel="00000000" w:rsidP="00000000" w:rsidRDefault="00000000" w:rsidRPr="00000000" w14:paraId="00000342">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r>
        <w:rPr>
          <w:rFonts w:ascii="Times New Roman" w:cs="Times New Roman" w:eastAsia="Times New Roman" w:hAnsi="Times New Roman"/>
          <w:b w:val="1"/>
          <w:bCs w:val="1"/>
          <w:color w:val="303030"/>
          <w:sz w:val="26"/>
          <w:szCs w:val="26"/>
          <w:highlight w:val="white"/>
          <w:rtl w:val="0"/>
        </w:rPr>
        <w:t xml:space="preserve">5.4 Sclerosis as a Clinically Necessary but Data-Limited Feature</w:t>
      </w:r>
    </w:p>
    <w:p w:rsidR="00000000" w:rsidDel="00000000" w:rsidP="00000000" w:rsidRDefault="00000000" w:rsidRPr="00000000" w14:paraId="00000343">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The binary sclerosis classifier achieved AUC = 0.611 on the test set, substantially below the AUC = 0.952 reported by Kim et al. [12] using EfficientNet-B0. This gap reflects both structural and dataset differences: xrAI-OA’s sclerosis module operates on anatomy-guided subchondral ROIs derived from segmentation outputs rather than the full knee image, and our manual annotation set (≈500 images, binary labels) is substantially smaller than the 4,019-image dataset used by Kim et al. Furthermore, subchondral sclerosis is a diffuse, gradually changing texture pattern without sharp boundaries, making it intrinsically harder to label consistently than the more spatially discrete features of JSN or osteophytes.</w:t>
      </w:r>
    </w:p>
    <w:p w:rsidR="00000000" w:rsidDel="00000000" w:rsidP="00000000" w:rsidRDefault="00000000" w:rsidRPr="00000000" w14:paraId="00000344">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The ablation results show that sclerosis features add only marginal predictive gain over the JSN plus osteophyte combination (ΔQWK &lt; 0.001). This should not be interpreted as evidence that sclerosis is clinically uninformative. Rather, it reflects the constraints of the current implementation: limited annotation volume, 224 × 224 pixel resolution without calibrated pixel spacing, and binary rather than graded labels. The inclusion of sclerosis as a quantified module is justified by its explicit role in the Kellgren–Lawrence grading criteria [4] and the OARSI feature atlas; the current results establish methodological feasibility and identify the data requirements for meaningful future improvement.</w:t>
      </w:r>
    </w:p>
    <w:p w:rsidR="00000000" w:rsidDel="00000000" w:rsidP="00000000" w:rsidRDefault="00000000" w:rsidRPr="00000000" w14:paraId="00000345">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r>
        <w:rPr>
          <w:rFonts w:ascii="Times New Roman" w:cs="Times New Roman" w:eastAsia="Times New Roman" w:hAnsi="Times New Roman"/>
          <w:b w:val="1"/>
          <w:bCs w:val="1"/>
          <w:color w:val="303030"/>
          <w:sz w:val="26"/>
          <w:szCs w:val="26"/>
          <w:highlight w:val="white"/>
          <w:rtl w:val="0"/>
        </w:rPr>
        <w:t xml:space="preserve">5.5 Dual-Path Classification: Transparency versus Performance</w:t>
      </w:r>
    </w:p>
    <w:p w:rsidR="00000000" w:rsidDel="00000000" w:rsidP="00000000" w:rsidRDefault="00000000" w:rsidRPr="00000000" w14:paraId="00000346">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The comparison between Path A (XGBoost, QWK = 0.629) and Path B (ConvNeXt hybrid, QWK = 0.844) demonstrates a substantial performance advantage for the deep learning path, consistent with the general finding that full-image convolutional representations capture visual information beyond what handcrafted feature vectors encode. The ConvNeXt backbone’s rich learned representation complements the structured 50-dimensional feature vector, producing strong ordinal agreement across all five KL grades.</w:t>
      </w:r>
    </w:p>
    <w:p w:rsidR="00000000" w:rsidDel="00000000" w:rsidP="00000000" w:rsidRDefault="00000000" w:rsidRPr="00000000" w14:paraId="00000347">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The appropriate interpretive claim for each path differs fundamentally. Path A is the inherently interpretable path: SHAP-based attribution makes the grade assignment fully auditable in terms of measured clinical features, supporting regulatory compliance and clinician trust [20]. Path B is the performance path: while it incorporates the structured feature vector as an explicit input, the image branch introduces additional latent information that is not directly explainable at the feature level. The dual-path design offers a clinically meaningful choice between fully auditable feature-grounded reasoning (Path A) and maximum predictive accuracy (Path B), mirroring the inherently interpretable versus post-hoc attribution distinction discussed in the XAI literature [20].</w:t>
      </w:r>
    </w:p>
    <w:p w:rsidR="00000000" w:rsidDel="00000000" w:rsidP="00000000" w:rsidRDefault="00000000" w:rsidRPr="00000000" w14:paraId="00000348">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r>
        <w:rPr>
          <w:rFonts w:ascii="Times New Roman" w:cs="Times New Roman" w:eastAsia="Times New Roman" w:hAnsi="Times New Roman"/>
          <w:b w:val="1"/>
          <w:bCs w:val="1"/>
          <w:color w:val="303030"/>
          <w:sz w:val="26"/>
          <w:szCs w:val="26"/>
          <w:highlight w:val="white"/>
          <w:rtl w:val="0"/>
        </w:rPr>
        <w:t xml:space="preserve">5.6 Comparison with Related Systems</w:t>
      </w:r>
    </w:p>
    <w:p w:rsidR="00000000" w:rsidDel="00000000" w:rsidP="00000000" w:rsidRDefault="00000000" w:rsidRPr="00000000" w14:paraId="00000349">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Compared with MediAI-OA [11], xrAI-OA addresses the same core motivation—decomposing KL grading into quantifiable radiographic features—but extends the scope to include subchondral sclerosis as a third quantified feature and employs per-site OARSI-aligned osteophyte grading at four anatomical sites. MediAI-OA did not explicitly quantify sclerosis, and its osteophyte module did not provide site-specific ordinal grading at individual compartment level.</w:t>
      </w:r>
    </w:p>
    <w:p w:rsidR="00000000" w:rsidDel="00000000" w:rsidP="00000000" w:rsidRDefault="00000000" w:rsidRPr="00000000" w14:paraId="0000034A">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Relative to VL-OrdinalFormer [13], which incorporated clinical concepts through CLIP semantic embeddings and reported state-of-the-art KL classification performance, xrAI-OA prioritises explicit, measurable feature outputs over implicit language-guided concept alignment. The quantified features in xrAI-OA—mJSW in pixels, per-site osteophyte grades on an OARSI-like scale, binary sclerosis presence—are directly reportable clinical measurements interpretable without reference to a language model, whereas CLIP-aligned embeddings encode clinical concepts implicitly, limiting standalone feature-level interpretability.</w:t>
      </w:r>
    </w:p>
    <w:p w:rsidR="00000000" w:rsidDel="00000000" w:rsidP="00000000" w:rsidRDefault="00000000" w:rsidRPr="00000000" w14:paraId="0000034B">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r>
        <w:rPr>
          <w:rFonts w:ascii="Times New Roman" w:cs="Times New Roman" w:eastAsia="Times New Roman" w:hAnsi="Times New Roman"/>
          <w:b w:val="1"/>
          <w:bCs w:val="1"/>
          <w:color w:val="303030"/>
          <w:sz w:val="26"/>
          <w:szCs w:val="26"/>
          <w:highlight w:val="white"/>
          <w:rtl w:val="0"/>
        </w:rPr>
        <w:t xml:space="preserve">5.7 Limitations</w:t>
      </w:r>
    </w:p>
    <w:p w:rsidR="00000000" w:rsidDel="00000000" w:rsidP="00000000" w:rsidRDefault="00000000" w:rsidRPr="00000000" w14:paraId="0000034C">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Several limitations of the present study warrant transparent acknowledgement. First, the dataset uses 224 × 224 pixel PNG images without calibrated DICOM pixel spacing metadata. JSW measurements are expressed in pixel units rather than validated millimetre values; the optional display mm conversion in the clinical interface represents a user-specified scale factor, not a validated physical measurement, and should not be used in contexts requiring absolute quantitative JSW.</w:t>
      </w:r>
    </w:p>
    <w:p w:rsidR="00000000" w:rsidDel="00000000" w:rsidP="00000000" w:rsidRDefault="00000000" w:rsidRPr="00000000" w14:paraId="0000034D">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Second, feature-level annotations were limited in volume. The JSN segmentation set (400 images) and sclerosis annotation set (≈500 images) are small relative to the full training set (5,778 images), constraining sclerosis classification performance and osteophyte grading generalisation, especially for the lateral femur site.</w:t>
      </w:r>
    </w:p>
    <w:p w:rsidR="00000000" w:rsidDel="00000000" w:rsidP="00000000" w:rsidRDefault="00000000" w:rsidRPr="00000000" w14:paraId="0000034E">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Third, the lateral femur osteophyte classifier exhibited substantial test generalisation failure (κ = 0.105), reflecting limited per-site label volume, class imbalance, and radiographic ambiguity at this site. The osteophyte feature from this site should be interpreted with caution as a standalone clinical output.</w:t>
      </w:r>
    </w:p>
    <w:p w:rsidR="00000000" w:rsidDel="00000000" w:rsidP="00000000" w:rsidRDefault="00000000" w:rsidRPr="00000000" w14:paraId="0000034F">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Fourth, external validation was not performed. The pipeline was developed and evaluated entirely on OAI-derived data with a predefined split. Performance on radiographs from different institutions, imaging equipment, or acquisition protocols remains to be established and is a prerequisite before clinical deployment.</w:t>
      </w:r>
    </w:p>
    <w:p w:rsidR="00000000" w:rsidDel="00000000" w:rsidP="00000000" w:rsidRDefault="00000000" w:rsidRPr="00000000" w14:paraId="00000350">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Fifth, formal radiologist evaluation of the XAI output quality—overlay accuracy, report clarity, and clinical utility—was not conducted in this study. Prospective assessment by musculoskeletal radiologists is a necessary step to validate the framework’s clinical usability and is deferred to future work.</w:t>
      </w:r>
    </w:p>
    <w:p w:rsidR="00000000" w:rsidDel="00000000" w:rsidP="00000000" w:rsidRDefault="00000000" w:rsidRPr="00000000" w14:paraId="00000351">
      <w:pPr>
        <w:pStyle w:val="Heading2"/>
        <w:keepNext w:val="0"/>
        <w:keepLines w:val="0"/>
        <w:spacing w:after="140" w:before="280" w:line="360" w:lineRule="auto"/>
        <w:jc w:val="both"/>
        <w:rPr>
          <w:rFonts w:ascii="Times New Roman" w:cs="Times New Roman" w:eastAsia="Times New Roman" w:hAnsi="Times New Roman"/>
          <w:b w:val="1"/>
          <w:bCs w:val="1"/>
          <w:color w:val="303030"/>
          <w:sz w:val="26"/>
          <w:szCs w:val="26"/>
          <w:highlight w:val="white"/>
        </w:rPr>
      </w:pPr>
      <w:r>
        <w:rPr>
          <w:rFonts w:ascii="Times New Roman" w:cs="Times New Roman" w:eastAsia="Times New Roman" w:hAnsi="Times New Roman"/>
          <w:b w:val="1"/>
          <w:bCs w:val="1"/>
          <w:color w:val="303030"/>
          <w:sz w:val="26"/>
          <w:szCs w:val="26"/>
          <w:highlight w:val="white"/>
          <w:rtl w:val="0"/>
        </w:rPr>
        <w:t xml:space="preserve">5.8 Future Directions</w:t>
      </w:r>
    </w:p>
    <w:p w:rsidR="00000000" w:rsidDel="00000000" w:rsidP="00000000" w:rsidRDefault="00000000" w:rsidRPr="00000000" w14:paraId="00000352">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Several directions are identified for extending this framework. Expanding the per-site osteophyte annotation set with multi-reader expert OARSI grading would directly address the primary bottleneck of Stage 2. Acquisition of DICOM-format radiographs with calibrated pixel spacing would enable validated millimetre-scale mJSW reporting consistent with clinical reference ranges and longitudinal monitoring protocols. Pixel-level or bounding-box osteophyte spur annotations would permit progression from site-level ordinal classification to true spatial localisation. Prospective validation of the full pipeline on an independent external dataset, and formal radiologist evaluation of the clinical utility of the XAI outputs, constitute the critical translational steps before deployment in musculoskeletal imaging practice.</w:t>
      </w:r>
    </w:p>
    <w:p w:rsidR="00000000" w:rsidDel="00000000" w:rsidP="00000000" w:rsidRDefault="00000000" w:rsidRPr="00000000" w14:paraId="00000353">
      <w:pPr>
        <w:pStyle w:val="Heading1"/>
        <w:keepNext w:val="0"/>
        <w:keepLines w:val="0"/>
        <w:spacing w:after="200" w:before="360" w:line="360" w:lineRule="auto"/>
        <w:jc w:val="both"/>
        <w:rPr>
          <w:rFonts w:ascii="Times New Roman" w:cs="Times New Roman" w:eastAsia="Times New Roman" w:hAnsi="Times New Roman"/>
          <w:b w:val="1"/>
          <w:bCs w:val="1"/>
          <w:color w:val="303030"/>
          <w:sz w:val="32"/>
          <w:szCs w:val="32"/>
          <w:highlight w:val="white"/>
        </w:rPr>
      </w:pPr>
      <w:r>
        <w:rPr>
          <w:rFonts w:ascii="Times New Roman" w:cs="Times New Roman" w:eastAsia="Times New Roman" w:hAnsi="Times New Roman"/>
          <w:b w:val="1"/>
          <w:bCs w:val="1"/>
          <w:color w:val="303030"/>
          <w:sz w:val="32"/>
          <w:szCs w:val="32"/>
          <w:highlight w:val="white"/>
          <w:rtl w:val="0"/>
        </w:rPr>
        <w:t xml:space="preserve">6. Conclusion</w:t>
      </w:r>
    </w:p>
    <w:p w:rsidR="00000000" w:rsidDel="00000000" w:rsidP="00000000" w:rsidRDefault="00000000" w:rsidRPr="00000000" w14:paraId="00000354">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This study presented xrAI-OA, a modular, feature-decomposed framework for explainable KOA assessment from plain radiographs that, to our knowledge, is the first published system to independently quantify all three principal radiographic components of KOA—joint space narrowing, osteophytes, and subchondral sclerosis—within a single integrated pipeline providing both measurable feature-level outputs and multi-layer explainable visualisations.</w:t>
      </w:r>
    </w:p>
    <w:p w:rsidR="00000000" w:rsidDel="00000000" w:rsidP="00000000" w:rsidRDefault="00000000" w:rsidRPr="00000000" w14:paraId="00000355">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The JSN segmentation and measurement component achieved reliable agreement with manual annotations (Dice = 0.891, mJSW ICC = 0.867). The dual-path KL classification design demonstrated that structured clinical features can support both high-performance ordinal prediction (ConvNeXt hybrid: test QWK = 0.844, AUC = 0.902) and fully transparent, feature-grounded reasoning (XGBoost Path A: test QWK = 0.629, with SHAP-based feature attribution). Ablation analysis confirmed JSN as the dominant tabular predictor of KL severity, with osteophyte features contributing consistent incremental signal, and the sclerosis module establishing methodological feasibility as a binary quantification component whose independent performance is constrained by the annotation scale available in this study.</w:t>
      </w:r>
    </w:p>
    <w:p w:rsidR="00000000" w:rsidDel="00000000" w:rsidP="00000000" w:rsidRDefault="00000000" w:rsidRPr="00000000" w14:paraId="00000356">
      <w:pPr>
        <w:spacing w:after="120" w:line="3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The primary contribution of xrAI-OA is not simply an improvement in KL grade accuracy over existing end-to-end models, but the demonstration that a clinically structured, feature-decomposed pipeline can preserve diagnostic interpretability while approaching the performance of deep learning classifiers. Each module output maps to a named radiographic finding, each visualisation layer reflects a directly measured feature, and the transparent path supports feature-level attribution auditable without specialised AI expertise. Future work should prioritise external validation, expanded feature-level annotation, and formal radiologist evaluation of the XAI outputs to establish the clinical readiness of this framework for deployment in musculoskeletal imaging practice.</w:t>
      </w:r>
    </w:p>
    <w:p w:rsidR="00000000" w:rsidDel="00000000" w:rsidP="00000000" w:rsidRDefault="00000000" w:rsidRPr="00000000" w14:paraId="00000097">
      <w:pPr>
        <w:pStyle w:val="Heading1"/>
        <w:keepNext w:val="0"/>
        <w:keepLines w:val="0"/>
        <w:spacing w:after="200" w:before="360" w:line="360" w:lineRule="auto"/>
        <w:jc w:val="both"/>
        <w:rPr>
          <w:rFonts w:ascii="Times New Roman" w:cs="Times New Roman" w:eastAsia="Times New Roman" w:hAnsi="Times New Roman"/>
          <w:b w:val="1"/>
          <w:bCs w:val="1"/>
          <w:color w:val="303030"/>
          <w:sz w:val="32"/>
          <w:szCs w:val="32"/>
          <w:highlight w:val="white"/>
        </w:rPr>
      </w:pPr>
      <w:bookmarkStart w:colFirst="0" w:colLast="0" w:name="_8q9d0p92zqvw" w:id="26"/>
      <w:bookmarkEnd w:id="26"/>
      <w:r>
        <w:rPr>
          <w:rFonts w:ascii="Times New Roman" w:cs="Times New Roman" w:eastAsia="Times New Roman" w:hAnsi="Times New Roman"/>
          <w:b w:val="1"/>
          <w:bCs w:val="1"/>
          <w:color w:val="303030"/>
          <w:sz w:val="32"/>
          <w:szCs w:val="32"/>
          <w:highlight w:val="white"/>
          <w:rtl w:val="0"/>
        </w:rPr>
        <w:t xml:space="preserve">References</w:t>
      </w:r>
    </w:p>
    <w:p w:rsidR="00000000" w:rsidDel="00000000" w:rsidP="00000000" w:rsidRDefault="00000000" w:rsidRPr="00000000" w14:paraId="00000098">
      <w:pPr>
        <w:spacing w:after="60" w:lineRule="auto"/>
        <w:jc w:val="both"/>
        <w:rPr>
          <w:rFonts w:ascii="Times New Roman" w:cs="Times New Roman" w:eastAsia="Times New Roman" w:hAnsi="Times New Roman"/>
          <w:color w:val="303030"/>
          <w:sz w:val="24"/>
          <w:szCs w:val="24"/>
          <w:highlight w:val="yellow"/>
        </w:rPr>
      </w:pPr>
      <w:r>
        <w:rPr>
          <w:rFonts w:ascii="Times New Roman" w:cs="Times New Roman" w:eastAsia="Times New Roman" w:hAnsi="Times New Roman"/>
          <w:color w:val="303030"/>
          <w:sz w:val="24"/>
          <w:szCs w:val="24"/>
          <w:highlight w:val="yellow"/>
          <w:rtl w:val="0"/>
        </w:rPr>
        <w:t xml:space="preserve">[1] Safiri S, Kolahi AA, Smith E, Hill C, Bettampadi D, Mansournia MA, et al. Global, regional and national burden of osteoarthritis 1990–2017: a systematic analysis of the Global Burden of Disease Study 2017. Ann Rheum Dis. 2020;79(6):819–28. DOI: 10.1136/annrheumdis-2019-216515.</w:t>
      </w:r>
    </w:p>
    <w:p w:rsidR="00000000" w:rsidDel="00000000" w:rsidP="00000000" w:rsidRDefault="00000000" w:rsidRPr="00000000" w14:paraId="00000099">
      <w:pPr>
        <w:spacing w:after="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[2] GBD 2021 Osteoarthritis Collaborators. Global, regional, and national burden of osteoarthritis, 1990–2020 and projections to 2050: a systematic analysis for the Global Burden of Disease Study 2021. Lancet Rheumatol. 2023;5(9):e508–22. DOI: 10.1016/S2665-9913(23)00163-7.</w:t>
      </w:r>
    </w:p>
    <w:p w:rsidR="00000000" w:rsidDel="00000000" w:rsidP="00000000" w:rsidRDefault="00000000" w:rsidRPr="00000000" w14:paraId="0000009A">
      <w:pPr>
        <w:spacing w:after="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[3] Hunter DJ, Bierma-Zeinstra S. Osteoarthritis. Lancet. 2019;393(10182):1745–59. DOI: 10.1016/S0140-6736(19)30417-9.</w:t>
      </w:r>
    </w:p>
    <w:p w:rsidR="00000000" w:rsidDel="00000000" w:rsidP="00000000" w:rsidRDefault="00000000" w:rsidRPr="00000000" w14:paraId="0000009B">
      <w:pPr>
        <w:spacing w:after="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[4] Kellgren JH, Lawrence JS. Radiological assessment of osteo-arthrosis. Ann Rheum Dis. 1957;16(4):494–502. DOI: 10.1136/ard.16.4.494.</w:t>
      </w:r>
    </w:p>
    <w:p w:rsidR="00000000" w:rsidDel="00000000" w:rsidP="00000000" w:rsidRDefault="00000000" w:rsidRPr="00000000" w14:paraId="0000009C">
      <w:pPr>
        <w:spacing w:after="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[5] Schiphof D, Boers M, Bierma-Zeinstra SMA. Differences in descriptions of Kellgren and Lawrence grades of knee osteoarthritis. Ann Rheum Dis. 2008;67(7):1034–6. DOI: 10.1136/ard.2007.079020.</w:t>
      </w:r>
    </w:p>
    <w:p w:rsidR="00000000" w:rsidDel="00000000" w:rsidP="00000000" w:rsidRDefault="00000000" w:rsidRPr="00000000" w14:paraId="0000009D">
      <w:pPr>
        <w:spacing w:after="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[6] Schiphof D, de Klerk BM, Kerkhof HJM, Hofman A, Koes BW, Boers M, et al. Impact of different descriptions of the Kellgren and Lawrence classification criteria on the diagnosis of knee osteoarthritis. Ann Rheum Dis. 2011;70(8):1422–7. DOI: 10.1136/ard.2010.147520.</w:t>
      </w:r>
    </w:p>
    <w:p w:rsidR="00000000" w:rsidDel="00000000" w:rsidP="00000000" w:rsidRDefault="00000000" w:rsidRPr="00000000" w14:paraId="0000009E">
      <w:pPr>
        <w:spacing w:after="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[7] Wright RW; MARS Group. Osteoarthritis classification scales: interobserver reliability and arthroscopic correlation. J Bone Joint Surg Am. 2014;96(14):1145–51. DOI: 10.2106/JBJS.M.00929.</w:t>
      </w:r>
    </w:p>
    <w:p w:rsidR="00000000" w:rsidDel="00000000" w:rsidP="00000000" w:rsidRDefault="00000000" w:rsidRPr="00000000" w14:paraId="0000009F">
      <w:pPr>
        <w:spacing w:after="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[8] Pi SW, Cho KH, Cho BH, Woo SH, Chun HJ, Lim SH, et al. Ensemble deep-learning networks for automated osteoarthritis grading in knee X-ray images. Sci Rep. 2023;13:22887. DOI: 10.1038/s41598-023-50210-4.</w:t>
      </w:r>
    </w:p>
    <w:p w:rsidR="00000000" w:rsidDel="00000000" w:rsidP="00000000" w:rsidRDefault="00000000" w:rsidRPr="00000000" w14:paraId="000000A0">
      <w:pPr>
        <w:spacing w:after="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[9] Chen P, Gao L, Shi X, Allen K, Yang L. Fully automatic knee osteoarthritis severity grading using deep neural networks with a novel ordinal loss. Comput Med Imaging Graph. 2019;75:84–92. DOI: 10.1016/j.compmedimag.2019.06.002.</w:t>
      </w:r>
    </w:p>
    <w:p w:rsidR="00000000" w:rsidDel="00000000" w:rsidP="00000000" w:rsidRDefault="00000000" w:rsidRPr="00000000" w14:paraId="000000A1">
      <w:pPr>
        <w:spacing w:after="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[10] Tariq T, Suhail Z, Nawaz Z. Knee osteoarthritis detection and classification using X-rays. IEEE Access. 2023;11:48588–97. DOI: 10.1109/ACCESS.2023.3276810.</w:t>
      </w:r>
    </w:p>
    <w:p w:rsidR="00000000" w:rsidDel="00000000" w:rsidP="00000000" w:rsidRDefault="00000000" w:rsidRPr="00000000" w14:paraId="000000A2">
      <w:pPr>
        <w:spacing w:after="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[11] Yoon JS, Yon CJ, Lee D, Lee JJ, Kang CH, Kang SB, et al. Assessment of a novel deep learning-based software developed for automatic feature extraction and grading of radiographic knee osteoarthritis. BMC Musculoskelet Disord. 2023;24(1):869. DOI: 10.1186/s12891-023-06951-4.</w:t>
      </w:r>
    </w:p>
    <w:p w:rsidR="00000000" w:rsidDel="00000000" w:rsidP="00000000" w:rsidRDefault="00000000" w:rsidRPr="00000000" w14:paraId="000000A3">
      <w:pPr>
        <w:spacing w:after="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[12] Kim SB, Kim YJ, Jung JY, Kim KG. Classification of grades of subchondral sclerosis from knee radiographic images using artificial intelligence. Sensors. 2025;25(8):2535. DOI: 10.3390/s25082535.</w:t>
      </w:r>
    </w:p>
    <w:p w:rsidR="00000000" w:rsidDel="00000000" w:rsidP="00000000" w:rsidRDefault="00000000" w:rsidRPr="00000000" w14:paraId="000000A4">
      <w:pPr>
        <w:spacing w:after="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[13] Ullah Z, Kim J. VL-OrdinalFormer: vision–language guided ordinal transformers for interpretable knee osteoarthritis grading. Mathematics. 2026;14(6):963. DOI: 10.3390/math14060963.</w:t>
      </w:r>
    </w:p>
    <w:p w:rsidR="00000000" w:rsidDel="00000000" w:rsidP="00000000" w:rsidRDefault="00000000" w:rsidRPr="00000000" w14:paraId="000000A5">
      <w:pPr>
        <w:spacing w:after="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[14] Tiulpin A, Saarakkala S. Automatic grading of individual knee osteoarthritis features in plain radiographs using deep convolutional neural networks. Diagnostics. 2020;10(11):932. DOI: 10.3390/diagnostics10110932.</w:t>
      </w:r>
    </w:p>
    <w:p w:rsidR="00000000" w:rsidDel="00000000" w:rsidP="00000000" w:rsidRDefault="00000000" w:rsidRPr="00000000" w14:paraId="000000A6">
      <w:pPr>
        <w:spacing w:after="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[15] Bayramoglu N, Tiulpin A, Hirvasniemi J, Nieminen MT, Saarakkala S. Adaptive segmentation of knee radiographs for selecting the optimal ROI in texture analysis. Osteoarthritis Cartilage. 2020;28(7):941–52. DOI: 10.1016/j.joca.2020.03.006.</w:t>
      </w:r>
    </w:p>
    <w:p w:rsidR="00000000" w:rsidDel="00000000" w:rsidP="00000000" w:rsidRDefault="00000000" w:rsidRPr="00000000" w14:paraId="000000A7">
      <w:pPr>
        <w:spacing w:after="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[16] Guo J, Yan P, Luo H, Ma Y, Jiang Y, Ju C, et al. Predicting joint space changes in knee osteoarthritis over 6 years: a combined model of TransUNet and XGBoost. Quant Imaging Med Surg. 2025;15(2):1396–1410. DOI: 10.21037/qims-24-1397.</w:t>
      </w:r>
    </w:p>
    <w:p w:rsidR="00000000" w:rsidDel="00000000" w:rsidP="00000000" w:rsidRDefault="00000000" w:rsidRPr="00000000" w14:paraId="000000A8">
      <w:pPr>
        <w:spacing w:after="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[17] Pan Y, Chen Q, Chen T, Wang H, Zhu X, Fang Z, et al. Automatic knee osteoarthritis severity grading based on X-ray images using a hierarchical classification method. Arthritis Res Ther. 2024;26:194. DOI: 10.1186/s13075-024-03416-4.</w:t>
      </w:r>
    </w:p>
    <w:p w:rsidR="00000000" w:rsidDel="00000000" w:rsidP="00000000" w:rsidRDefault="00000000" w:rsidRPr="00000000" w14:paraId="000000A9">
      <w:pPr>
        <w:spacing w:after="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[18] Selvaraju RR, Cogswell M, Das A, Vedantam R, Parikh D, Batra D. Grad-CAM: visual explanations from deep networks via gradient-based localization. Int J Comput Vis. 2020;128(2):336–59. DOI: 10.1007/s11263-019-01228-7.</w:t>
      </w:r>
    </w:p>
    <w:p w:rsidR="00000000" w:rsidDel="00000000" w:rsidP="00000000" w:rsidRDefault="00000000" w:rsidRPr="00000000" w14:paraId="000000AA">
      <w:pPr>
        <w:spacing w:after="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[19] Karim MR, Jiao J, Dohmen T, Cochez M, Beyan O, Rebholz-Schuhmann D, et al. DeepKneeExplainer: explainable knee osteoarthritis diagnosis from radiographs and magnetic resonance imaging. IEEE Access. 2021;9:39757–80. DOI: 10.1109/ACCESS.2021.3062493.</w:t>
      </w:r>
    </w:p>
    <w:p w:rsidR="00000000" w:rsidDel="00000000" w:rsidP="00000000" w:rsidRDefault="00000000" w:rsidRPr="00000000" w14:paraId="000000AB">
      <w:pPr>
        <w:spacing w:after="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[20] Weber RO, Johs AJ, Li H, Huang J, Heslin M, Goel AK. XAI is in trouble. AI Mag. 2024;45(3):300–16. DOI: 10.1002/aaai.12186.</w:t>
      </w:r>
    </w:p>
    <w:p w:rsidR="00000000" w:rsidDel="00000000" w:rsidP="00000000" w:rsidRDefault="00000000" w:rsidRPr="00000000" w14:paraId="000000AC">
      <w:pPr>
        <w:spacing w:after="60" w:lineRule="auto"/>
        <w:jc w:val="both"/>
        <w:rPr>
          <w:rFonts w:ascii="Times New Roman" w:cs="Times New Roman" w:eastAsia="Times New Roman" w:hAnsi="Times New Roman"/>
          <w:color w:val="303030"/>
          <w:sz w:val="24"/>
          <w:szCs w:val="24"/>
          <w:highlight w:val="white"/>
        </w:rPr>
      </w:pPr>
      <w:r>
        <w:rPr>
          <w:rFonts w:ascii="Times New Roman" w:cs="Times New Roman" w:eastAsia="Times New Roman" w:hAnsi="Times New Roman"/>
          <w:color w:val="303030"/>
          <w:sz w:val="24"/>
          <w:szCs w:val="24"/>
          <w:highlight w:val="white"/>
          <w:rtl w:val="0"/>
        </w:rPr>
        <w:t xml:space="preserve">[21] Ahmed SM, Mstafa RJ. Identifying severity grading of knee osteoarthritis from X-ray images using an efficient mixture of deep learning and machine learning models. Diagnostics. 2022;12(12):2939. DOI: 10.3390/diagnostics12122939.</w:t>
      </w:r>
    </w:p>
    <w:p w:rsidR="00000000" w:rsidDel="00000000" w:rsidP="00000000" w:rsidRDefault="00000000" w:rsidRPr="00000000" w14:paraId="000000AD">
      <w:pPr>
        <w:spacing w:after="60" w:lineRule="auto"/>
        <w:jc w:val="both"/>
        <w:rPr>
          <w:rFonts w:ascii="Times New Roman" w:cs="Times New Roman" w:eastAsia="Times New Roman" w:hAnsi="Times New Roman"/>
          <w:color w:val="303030"/>
          <w:sz w:val="24"/>
          <w:szCs w:val="24"/>
          <w:highlight w:val="white"/>
        </w:rPr>
      </w:pPr>
      <w:r>
        <w:rPr>
          <w:rtl w:val="0"/>
        </w:rPr>
      </w:r>
    </w:p>
    <w:p w:rsidR="00000000" w:rsidDel="00000000" w:rsidP="00000000" w:rsidRDefault="00000000" w:rsidRPr="00000000" w14:paraId="000000AE">
      <w:pPr>
        <w:spacing w:after="120" w:line="360" w:lineRule="auto"/>
        <w:jc w:val="both"/>
        <w:rPr/>
      </w:pPr>
      <w:r>
        <w:rPr>
          <w:rtl w:val="0"/>
        </w:rPr>
      </w:r>
    </w:p>
    <w:p w:rsidR="00000000" w:rsidDel="00000000" w:rsidP="00000000" w:rsidRDefault="00000000" w:rsidRPr="00000000" w14:paraId="000000AF">
      <w:pPr>
        <w:jc w:val="both"/>
        <w:rPr>
          <w:rFonts w:ascii="Roboto" w:cs="Roboto" w:eastAsia="Roboto" w:hAnsi="Roboto"/>
          <w:color w:val="212121"/>
          <w:sz w:val="24"/>
          <w:szCs w:val="24"/>
          <w:highlight w:val="white"/>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boldItalic.ttf"/><Relationship Id="rId10" Type="http://schemas.openxmlformats.org/officeDocument/2006/relationships/font" Target="fonts/Roboto-italic.ttf"/><Relationship Id="rId9" Type="http://schemas.openxmlformats.org/officeDocument/2006/relationships/font" Target="fonts/Robot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