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5DEF" w14:textId="253545C2" w:rsidR="0008336A" w:rsidRPr="00F95FB8" w:rsidRDefault="00AB607A" w:rsidP="60F8ADB9">
      <w:pPr>
        <w:pStyle w:val="NormalWeb"/>
        <w:jc w:val="center"/>
        <w:rPr>
          <w:rFonts w:ascii="Calibri" w:hAnsi="Calibri" w:cs="Calibri"/>
          <w:b/>
          <w:bCs/>
          <w:shd w:val="clear" w:color="auto" w:fill="D8D8D8"/>
        </w:rPr>
      </w:pPr>
      <w:r w:rsidRPr="60F8ADB9">
        <w:rPr>
          <w:rFonts w:ascii="Calibri" w:hAnsi="Calibri" w:cs="Calibri"/>
          <w:b/>
          <w:bCs/>
        </w:rPr>
        <w:t>PROGRAMA DE ASIGNATURA</w:t>
      </w:r>
    </w:p>
    <w:tbl>
      <w:tblPr>
        <w:tblStyle w:val="TableGrid"/>
        <w:tblW w:w="9411" w:type="dxa"/>
        <w:tblInd w:w="281" w:type="dxa"/>
        <w:tblCellMar>
          <w:left w:w="102" w:type="dxa"/>
          <w:right w:w="102" w:type="dxa"/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2564"/>
        <w:gridCol w:w="2102"/>
        <w:gridCol w:w="28"/>
        <w:gridCol w:w="1696"/>
        <w:gridCol w:w="3021"/>
      </w:tblGrid>
      <w:tr w:rsidR="004805C1" w:rsidRPr="004805C1" w14:paraId="1AC03C64" w14:textId="77777777" w:rsidTr="4EC03A1E">
        <w:trPr>
          <w:trHeight w:val="1348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 w14:paraId="4D2A71CA" w14:textId="78D50608" w:rsidR="004F0231" w:rsidRPr="004805C1" w:rsidRDefault="004F0231" w:rsidP="60F8ADB9">
            <w:pPr>
              <w:spacing w:after="244" w:line="259" w:lineRule="auto"/>
              <w:ind w:left="3185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B48EA3" wp14:editId="134590F1">
                  <wp:extent cx="1798955" cy="367574"/>
                  <wp:effectExtent l="0" t="0" r="0" b="0"/>
                  <wp:docPr id="21582" name="Picture 21582" title="Universidad Adolfo Ibáñez" descr="Logotipo institucional de la Universidad Adolfo Ibáñez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82" name="Picture 2158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8955" cy="36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5C29E5" w14:textId="77777777" w:rsidR="004F0231" w:rsidRPr="004805C1" w:rsidRDefault="004F0231" w:rsidP="00E44347">
            <w:pPr>
              <w:spacing w:line="259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</w:tr>
      <w:tr w:rsidR="004805C1" w:rsidRPr="004805C1" w14:paraId="0DCBADB0" w14:textId="77777777" w:rsidTr="4EC03A1E">
        <w:trPr>
          <w:trHeight w:val="299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5BD98817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Nombre de la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Inteligencia Artificial y Democracia.</w:t>
            </w:r>
          </w:p>
        </w:tc>
      </w:tr>
      <w:tr w:rsidR="004805C1" w:rsidRPr="004805C1" w14:paraId="4A6B87B1" w14:textId="77777777" w:rsidTr="4EC03A1E">
        <w:trPr>
          <w:trHeight w:val="518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2BF898B2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Unidad que dicta la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/>
                <w:sz w:val="20"/>
              </w:rPr>
              <w:t>Gobierno, Minor en Inteligencia Artificial.</w:t>
            </w:r>
          </w:p>
        </w:tc>
      </w:tr>
      <w:tr w:rsidR="004805C1" w:rsidRPr="004805C1" w14:paraId="7843D268" w14:textId="77777777" w:rsidTr="4EC03A1E">
        <w:trPr>
          <w:trHeight w:val="648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1A41801F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Versión Año </w:t>
            </w:r>
          </w:p>
        </w:tc>
        <w:tc>
          <w:tcPr>
            <w:tcW w:w="2130" w:type="dxa"/>
            <w:gridSpan w:val="2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/>
                <w:sz w:val="20"/>
              </w:rPr>
              <w:t>2026</w:t>
            </w:r>
          </w:p>
        </w:tc>
        <w:tc>
          <w:tcPr>
            <w:tcW w:w="169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002B1188" w14:textId="77777777" w:rsidR="004F0231" w:rsidRPr="004805C1" w:rsidRDefault="004F0231" w:rsidP="00E44347">
            <w:pPr>
              <w:spacing w:line="259" w:lineRule="auto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Código de asignatura </w:t>
            </w:r>
          </w:p>
        </w:tc>
        <w:tc>
          <w:tcPr>
            <w:tcW w:w="3021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Por completar según sigla Omega.</w:t>
            </w:r>
          </w:p>
        </w:tc>
      </w:tr>
      <w:tr w:rsidR="004805C1" w:rsidRPr="004805C1" w14:paraId="39C49E34" w14:textId="77777777" w:rsidTr="4EC03A1E">
        <w:trPr>
          <w:trHeight w:val="518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5CEBD181" w14:textId="77777777" w:rsidR="004F0231" w:rsidRPr="004805C1" w:rsidRDefault="004F0231" w:rsidP="00E44347">
            <w:pPr>
              <w:spacing w:line="259" w:lineRule="auto"/>
              <w:ind w:right="4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Nro. de Créditos SCT-Chile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Por completar según definición SCT vigente de la asignatura.</w:t>
            </w:r>
          </w:p>
        </w:tc>
      </w:tr>
      <w:tr w:rsidR="000512C7" w:rsidRPr="004805C1" w14:paraId="43DA6DA4" w14:textId="77777777" w:rsidTr="4EC03A1E">
        <w:trPr>
          <w:trHeight w:val="326"/>
        </w:trPr>
        <w:tc>
          <w:tcPr>
            <w:tcW w:w="4666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6F5F4B3" w14:textId="77777777" w:rsidR="000512C7" w:rsidRPr="004805C1" w:rsidRDefault="000512C7" w:rsidP="00E44347">
            <w:pPr>
              <w:spacing w:line="259" w:lineRule="auto"/>
              <w:ind w:right="43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Horas Presenciales </w:t>
            </w:r>
          </w:p>
        </w:tc>
        <w:tc>
          <w:tcPr>
            <w:tcW w:w="4745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7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966CD8" w14:textId="23DAF8F7" w:rsidR="000512C7" w:rsidRPr="004805C1" w:rsidRDefault="000512C7" w:rsidP="00E44347">
            <w:pPr>
              <w:spacing w:line="259" w:lineRule="auto"/>
              <w:ind w:right="4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Horas No Presenciales </w:t>
            </w:r>
          </w:p>
        </w:tc>
      </w:tr>
      <w:tr w:rsidR="000512C7" w:rsidRPr="004805C1" w14:paraId="35EE2C5B" w14:textId="77777777" w:rsidTr="4EC03A1E">
        <w:trPr>
          <w:trHeight w:val="750"/>
        </w:trPr>
        <w:tc>
          <w:tcPr>
            <w:tcW w:w="4666" w:type="dxa"/>
            <w:gridSpan w:val="2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32 sesiones presenciales: lunes 08:30–09:40 y jueves 15:00–16:10. Equivalencia SCT por completar según definición institucional.</w:t>
            </w:r>
          </w:p>
        </w:tc>
        <w:tc>
          <w:tcPr>
            <w:tcW w:w="4745" w:type="dxa"/>
            <w:gridSpan w:val="3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Por completar según definición SCT vigente de la asignatura.</w:t>
            </w:r>
          </w:p>
        </w:tc>
      </w:tr>
      <w:tr w:rsidR="004805C1" w:rsidRPr="004805C1" w14:paraId="0ACCFABC" w14:textId="77777777" w:rsidTr="4EC03A1E">
        <w:trPr>
          <w:trHeight w:val="678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0D286379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Área de conocimiento de la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Ciencias Sociales — Ciencia Política / Democracia / Inteligencia Artificial y Sociedad.</w:t>
            </w:r>
          </w:p>
        </w:tc>
      </w:tr>
      <w:tr w:rsidR="004805C1" w:rsidRPr="004805C1" w14:paraId="74B20AC4" w14:textId="77777777" w:rsidTr="4EC03A1E">
        <w:trPr>
          <w:trHeight w:val="761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74BBAE19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Tipo de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Por completar según clasificación curricular de la Universidad.</w:t>
            </w:r>
          </w:p>
        </w:tc>
      </w:tr>
      <w:tr w:rsidR="004805C1" w:rsidRPr="004805C1" w14:paraId="07FA732D" w14:textId="77777777" w:rsidTr="4EC03A1E">
        <w:trPr>
          <w:trHeight w:val="518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6D53EA66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805C1">
              <w:rPr>
                <w:rFonts w:ascii="Calibri" w:eastAsia="Calibri" w:hAnsi="Calibri" w:cs="Calibri"/>
                <w:sz w:val="20"/>
                <w:szCs w:val="20"/>
              </w:rPr>
              <w:t>Pre-requisitos</w:t>
            </w:r>
            <w:proofErr w:type="spellEnd"/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Por completar según plan de estudios vigente.</w:t>
            </w:r>
          </w:p>
        </w:tc>
      </w:tr>
      <w:tr w:rsidR="004805C1" w:rsidRPr="004805C1" w14:paraId="5283B636" w14:textId="77777777" w:rsidTr="4EC03A1E">
        <w:trPr>
          <w:trHeight w:val="763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center"/>
          </w:tcPr>
          <w:p w14:paraId="2E213441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Competencias del egresado que desarrolla la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center"/>
          </w:tcPr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Según matriz de tributación vigente. La asignatura contribuye especialmente al pensamiento crítico, la ética pública, la alfabetización digital, el análisis de problemas complejos, la comunicación efectiva y la deliberación democrática.</w:t>
            </w:r>
          </w:p>
        </w:tc>
      </w:tr>
      <w:tr w:rsidR="004805C1" w:rsidRPr="004805C1" w14:paraId="34F6BF68" w14:textId="77777777" w:rsidTr="4EC03A1E">
        <w:trPr>
          <w:trHeight w:val="1250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top"/>
          </w:tcPr>
          <w:p w14:paraId="21F2135B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Resultados de Aprendizaje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top"/>
          </w:tcPr>
          <w:p>
            <w:pPr>
              <w:numPr>
                <w:ilvl w:val="0"/>
                <w:numId w:val="1"/>
              </w:numPr>
              <w:keepNext w:val="0"/>
              <w:keepLines/>
              <w:widowControl/>
              <w:spacing w:before="0" w:after="8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Analizar conceptos y modelos de democracia para evaluar cómo la inteligencia artificial transforma la representación, la deliberación, la esfera pública y la distribución del poder político.</w:t>
            </w:r>
          </w:p>
          <w:p>
            <w:pPr>
              <w:numPr>
                <w:ilvl w:val="0"/>
                <w:numId w:val="1"/>
              </w:numPr>
              <w:keepNext w:val="0"/>
              <w:keepLines/>
              <w:widowControl/>
              <w:spacing w:before="0" w:after="8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Examinar los mecanismos mediante los cuales los sistemas de IA inciden en la opinión pública, la producción de información, la polarización y la relación entre ciudadanía, plataformas y élites tecnológicas.</w:t>
            </w:r>
          </w:p>
          <w:p>
            <w:pPr>
              <w:numPr>
                <w:ilvl w:val="0"/>
                <w:numId w:val="1"/>
              </w:numPr>
              <w:keepNext w:val="0"/>
              <w:keepLines/>
              <w:widowControl/>
              <w:spacing w:before="0" w:after="8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Evaluar usos de IA en el Estado considerando eficacia, sesgos, vigilancia, derechos fundamentales, transparencia, explicabilidad, impugnación y rendición de cuentas.</w:t>
            </w:r>
          </w:p>
          <w:p>
            <w:pPr>
              <w:numPr>
                <w:ilvl w:val="0"/>
                <w:numId w:val="1"/>
              </w:numPr>
              <w:keepNext w:val="0"/>
              <w:keepLines/>
              <w:widowControl/>
              <w:spacing w:before="0" w:after="8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Comparar alternativas de gobernanza y regulación de la IA, atendiendo a sus supuestos normativos, capacidades institucionales y consecuencias geopolíticas.</w:t>
            </w:r>
          </w:p>
          <w:p>
            <w:pPr>
              <w:numPr>
                <w:ilvl w:val="0"/>
                <w:numId w:val="1"/>
              </w:numPr>
              <w:keepNext w:val="0"/>
              <w:keepLines/>
              <w:widowControl/>
              <w:spacing w:before="0" w:after="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Formular y defender una posición fundada sobre un dilema de IA y democracia, integrando teoría, evidencia, consideración de perspectivas contrapuestas y criterios de interés público.</w:t>
            </w:r>
          </w:p>
        </w:tc>
      </w:tr>
      <w:tr w:rsidR="004805C1" w:rsidRPr="004805C1" w14:paraId="2119B098" w14:textId="77777777" w:rsidTr="4EC03A1E">
        <w:trPr>
          <w:trHeight w:val="1006"/>
        </w:trPr>
        <w:tc>
          <w:tcPr>
            <w:tcW w:w="256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nil"/>
            </w:tcBorders>
            <w:shd w:val="clear" w:color="auto" w:fill="D9D9D9" w:themeFill="background1" w:themeFillShade="D9"/>
            <w:vAlign w:val="top"/>
          </w:tcPr>
          <w:p w14:paraId="7919C774" w14:textId="77777777" w:rsidR="004F0231" w:rsidRPr="004805C1" w:rsidRDefault="004F0231" w:rsidP="00E44347">
            <w:pPr>
              <w:spacing w:line="259" w:lineRule="auto"/>
              <w:ind w:left="5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Descripción de la asignatura </w:t>
            </w:r>
          </w:p>
        </w:tc>
        <w:tc>
          <w:tcPr>
            <w:tcW w:w="6847" w:type="dxa"/>
            <w:gridSpan w:val="4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single" w:sz="17" w:space="0" w:color="000000" w:themeColor="text1"/>
            </w:tcBorders>
            <w:vAlign w:val="top"/>
          </w:tcPr>
          <w:p>
            <w:pPr>
              <w:keepNext w:val="0"/>
              <w:keepLines w:val="0"/>
              <w:widowControl/>
              <w:spacing w:before="0" w:after="100" w:line="252" w:lineRule="auto"/>
              <w:ind w:left="0" w:firstLine="0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El curso examina el impacto de la inteligencia artificial sobre los procesos democráticos mediante dos módulos complementarios. Democracia aporta herramientas sobre modelos democráticos, poder y élites, esfera pública, autoritarismo, soberanía y deliberación. IA aborda backlash social, representación sintética, concentración tecnológica, regulación, Estado algorítmico, vigilancia, geopolítica y democracia aumentada.</w:t>
            </w:r>
          </w:p>
          <w:p>
            <w:pPr>
              <w:keepNext w:val="0"/>
              <w:keepLines w:val="0"/>
              <w:widowControl/>
              <w:spacing w:before="0" w:after="100" w:line="252" w:lineRule="auto"/>
              <w:ind w:left="0" w:firstLine="0"/>
              <w:jc w:val="both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Las semanas alternan ambos módulos para aplicar los marcos conceptuales a casos tecnológicos. El trabajo combina lecturas, análisis de casos, actividades y debates, y culmina con un taller integrador coimpartido.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Pregunta guía del curso: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¿Bajo qué condiciones puede la IA fortalecer la democracia sin debilitar la autonomía ciudadana, los derechos y el control público?</w:t>
            </w:r>
          </w:p>
        </w:tc>
      </w:tr>
      <w:tr w:rsidR="004805C1" w:rsidRPr="004805C1" w14:paraId="0127CA7C" w14:textId="77777777" w:rsidTr="4EC03A1E">
        <w:trPr>
          <w:trHeight w:val="317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7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198775B" w14:textId="77777777" w:rsidR="004F0231" w:rsidRPr="004805C1" w:rsidRDefault="004F0231" w:rsidP="00E44347">
            <w:pPr>
              <w:spacing w:line="259" w:lineRule="auto"/>
              <w:ind w:right="44"/>
              <w:jc w:val="both"/>
              <w:rPr>
                <w:rFonts w:ascii="Calibri" w:hAnsi="Calibri" w:cs="Calibri"/>
                <w:sz w:val="20"/>
                <w:szCs w:val="20"/>
              </w:rPr>
              <w:keepNext/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lastRenderedPageBreak/>
              <w:t xml:space="preserve">Unidades de la asignatura </w:t>
            </w:r>
          </w:p>
        </w:tc>
      </w:tr>
      <w:tr w:rsidR="004805C1" w:rsidRPr="004805C1" w14:paraId="61058638" w14:textId="77777777" w:rsidTr="4EC03A1E">
        <w:trPr>
          <w:trHeight w:val="1234"/>
        </w:trPr>
        <w:tc>
          <w:tcPr>
            <w:tcW w:w="9411" w:type="dxa"/>
            <w:gridSpan w:val="5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7" w:space="0" w:color="000000" w:themeColor="text1"/>
            </w:tcBorders>
            <w:vAlign w:val="top"/>
          </w:tcPr>
          <w:p>
            <w:pPr>
              <w:numPr>
                <w:ilvl w:val="0"/>
                <w:numId w:val="2"/>
              </w:numPr>
              <w:keepNext/>
              <w:keepLines w:val="0"/>
              <w:widowControl/>
              <w:spacing w:before="0" w:after="2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Fundamentos de democracia, poder y esfera pública</w:t>
            </w:r>
          </w:p>
          <w:p>
            <w:pPr>
              <w:keepNext w:val="0"/>
              <w:keepLines/>
              <w:widowControl/>
              <w:spacing w:before="0" w:after="100" w:line="252" w:lineRule="auto"/>
              <w:ind w:left="691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Modelos democráticos; representación y legitimidad; poder y élites; esfera pública, desinformación, autoritarismo y límites de la democracia liberal.</w:t>
            </w:r>
          </w:p>
          <w:p>
            <w:pPr>
              <w:numPr>
                <w:ilvl w:val="0"/>
                <w:numId w:val="2"/>
              </w:numPr>
              <w:keepNext/>
              <w:keepLines w:val="0"/>
              <w:widowControl/>
              <w:spacing w:before="40" w:after="2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IA, opinión pública y poder tecnológico</w:t>
            </w:r>
          </w:p>
          <w:p>
            <w:pPr>
              <w:keepNext w:val="0"/>
              <w:keepLines/>
              <w:widowControl/>
              <w:spacing w:before="0" w:after="100" w:line="252" w:lineRule="auto"/>
              <w:ind w:left="691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Backlash y opinión pública; medición y simulación de preferencias; representación sintética; concentración tecnológica y poder político de las plataformas.</w:t>
            </w:r>
          </w:p>
          <w:p>
            <w:pPr>
              <w:numPr>
                <w:ilvl w:val="0"/>
                <w:numId w:val="2"/>
              </w:numPr>
              <w:keepNext/>
              <w:keepLines w:val="0"/>
              <w:widowControl/>
              <w:spacing w:before="40" w:after="2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Gobernanza, regulación y Estado algorítmico</w:t>
            </w:r>
          </w:p>
          <w:p>
            <w:pPr>
              <w:keepNext w:val="0"/>
              <w:keepLines/>
              <w:widowControl/>
              <w:spacing w:before="0" w:after="100" w:line="252" w:lineRule="auto"/>
              <w:ind w:left="691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Gobernanza y regulación; Estado algorítmico; automatización, sesgos, vigilancia, explicabilidad, impugnación y rendición de cuentas.</w:t>
            </w:r>
          </w:p>
          <w:p>
            <w:pPr>
              <w:numPr>
                <w:ilvl w:val="0"/>
                <w:numId w:val="2"/>
              </w:numPr>
              <w:keepNext/>
              <w:keepLines w:val="0"/>
              <w:widowControl/>
              <w:spacing w:before="40" w:after="2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Soberanía, geopolítica y democracia aumentada</w:t>
            </w:r>
          </w:p>
          <w:p>
            <w:pPr>
              <w:keepNext w:val="0"/>
              <w:keepLines/>
              <w:widowControl/>
              <w:spacing w:before="0" w:after="0" w:line="252" w:lineRule="auto"/>
              <w:ind w:left="691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Soberanía tecnológica; geopolítica de infraestructura, modelos y datos; polarización, agentes de IA, representación, deliberación y taller integrador.</w:t>
            </w:r>
          </w:p>
        </w:tc>
      </w:tr>
      <w:tr w:rsidR="004805C1" w:rsidRPr="004805C1" w14:paraId="55015036" w14:textId="77777777" w:rsidTr="4EC03A1E">
        <w:trPr>
          <w:trHeight w:val="313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BFAF121" w14:textId="77777777" w:rsidR="004F0231" w:rsidRPr="004805C1" w:rsidRDefault="004F0231" w:rsidP="00E44347">
            <w:pPr>
              <w:spacing w:line="259" w:lineRule="auto"/>
              <w:ind w:right="89"/>
              <w:jc w:val="both"/>
              <w:rPr>
                <w:rFonts w:ascii="Calibri" w:hAnsi="Calibri" w:cs="Calibri"/>
                <w:sz w:val="20"/>
                <w:szCs w:val="20"/>
              </w:rPr>
              <w:keepNext/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Estrategias de enseñanza y aprendizaje </w:t>
            </w:r>
          </w:p>
        </w:tc>
      </w:tr>
      <w:tr w:rsidR="004805C1" w:rsidRPr="004805C1" w14:paraId="4B390D14" w14:textId="77777777" w:rsidTr="4EC03A1E">
        <w:trPr>
          <w:trHeight w:val="1727"/>
        </w:trPr>
        <w:tc>
          <w:tcPr>
            <w:tcW w:w="9411" w:type="dxa"/>
            <w:gridSpan w:val="5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top"/>
          </w:tcPr>
          <w:p>
            <w:pPr>
              <w:keepNext w:val="0"/>
              <w:keepLines w:val="0"/>
              <w:widowControl/>
              <w:spacing w:before="0" w:after="8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El diseño pedagógico combina teoría democrática, análisis institucional y exploración crítica de tecnologías emergentes.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Intercalación de módulos: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Las sesiones de Democracia aportan marcos conceptuales que se aplican posteriormente a problemas contemporáneos de IA.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Clases expositivas y discusión guiada: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Se combinan exposiciones breves con preguntas orientadoras, lectura crítica y contraste de perspectivas.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Análisis de casos: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Los estudiantes examinan controversias sobre opinión pública, plataformas, regulación, vigilancia, geopolítica y representación algorítmica.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Debates y actividades colaborativas: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Los grupos construyen argumentos, evalúan evidencia, anticipan objeciones y comunican conclusiones en forma oral y escrita.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Uso reflexivo de IA: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Las herramientas de IA pueden apoyar la exploración y preparación de materiales, con declaración de uso, verificación de resultados y responsabilidad sobre las decisiones finales.</w:t>
            </w:r>
          </w:p>
          <w:p>
            <w:pPr>
              <w:numPr>
                <w:ilvl w:val="0"/>
                <w:numId w:val="3"/>
              </w:numPr>
              <w:keepNext w:val="0"/>
              <w:keepLines/>
              <w:widowControl/>
              <w:spacing w:before="0" w:after="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Taller integrador: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El cierre del curso articula conceptos y casos de ambos módulos para formular respuestas públicas justificadas.</w:t>
            </w:r>
          </w:p>
        </w:tc>
      </w:tr>
      <w:tr w:rsidR="004805C1" w:rsidRPr="004805C1" w14:paraId="29701E5F" w14:textId="77777777" w:rsidTr="4EC03A1E">
        <w:trPr>
          <w:trHeight w:val="313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nil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6B784D7" w14:textId="77777777" w:rsidR="004F0231" w:rsidRPr="004805C1" w:rsidRDefault="004F0231" w:rsidP="00E44347">
            <w:pPr>
              <w:spacing w:line="259" w:lineRule="auto"/>
              <w:ind w:right="89"/>
              <w:jc w:val="both"/>
              <w:rPr>
                <w:rFonts w:ascii="Calibri" w:hAnsi="Calibri" w:cs="Calibri"/>
                <w:sz w:val="20"/>
                <w:szCs w:val="20"/>
              </w:rPr>
              <w:keepNext/>
              <w:pageBreakBefore/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Procedimientos de Evaluación de aprendizajes </w:t>
            </w:r>
          </w:p>
        </w:tc>
      </w:tr>
      <w:tr w:rsidR="004805C1" w:rsidRPr="004805C1" w14:paraId="22EC8D31" w14:textId="77777777" w:rsidTr="4EC03A1E">
        <w:trPr>
          <w:trHeight w:val="1972"/>
        </w:trPr>
        <w:tc>
          <w:tcPr>
            <w:tcW w:w="9411" w:type="dxa"/>
            <w:gridSpan w:val="5"/>
            <w:tcBorders>
              <w:top w:val="nil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top"/>
          </w:tcPr>
          <w:p>
            <w:pPr>
              <w:keepNext w:val="0"/>
              <w:keepLines w:val="0"/>
              <w:widowControl/>
              <w:spacing w:before="0" w:after="8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La evaluación integra evidencias de comprensión conceptual, aplicación, deliberación y comunicación.</w:t>
            </w:r>
          </w:p>
          <w:p>
            <w:pPr>
              <w:numPr>
                <w:ilvl w:val="0"/>
                <w:numId w:val="4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Actividades en clases — sesiones de IA (25%, grupal):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Aplicación de conceptos a casos, preparación, calidad del razonamiento y participación en el trabajo colectivo.</w:t>
            </w:r>
          </w:p>
          <w:p>
            <w:pPr>
              <w:numPr>
                <w:ilvl w:val="0"/>
                <w:numId w:val="4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Debates semanales — sesiones de Democracia (25%, grupal):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Comprensión de las lecturas, uso de evidencia, capacidad de responder objeciones y calidad de la deliberación.</w:t>
            </w:r>
          </w:p>
          <w:p>
            <w:pPr>
              <w:numPr>
                <w:ilvl w:val="0"/>
                <w:numId w:val="4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Prueba I — semanas 1 a 7 (25%, individual):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Evaluación integradora de conceptos, argumentos y casos de la primera mitad del curso.</w:t>
            </w:r>
          </w:p>
          <w:p>
            <w:pPr>
              <w:numPr>
                <w:ilvl w:val="0"/>
                <w:numId w:val="4"/>
              </w:numPr>
              <w:keepNext w:val="0"/>
              <w:keepLines/>
              <w:widowControl/>
              <w:spacing w:before="0" w:after="8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Prueba II — semanas 9 a 15 (25%, individual):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Evaluación integradora de la segunda mitad del curso, incluido el taller final.</w:t>
            </w:r>
          </w:p>
          <w:p>
            <w:pPr>
              <w:keepNext w:val="0"/>
              <w:keepLines w:val="0"/>
              <w:widowControl/>
              <w:spacing w:before="0" w:after="6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 xml:space="preserve">Criterios transversales: </w:t>
            </w:r>
            <w:r>
              <w:rPr>
                <w:rFonts w:ascii="Calibri" w:hAnsi="Calibri" w:cs="Calibri"/>
                <w:b w:val="0"/>
                <w:i w:val="0"/>
                <w:sz w:val="20"/>
              </w:rPr>
              <w:t>claridad conceptual, uso de evidencia, razonamiento crítico, consideración de derechos y valores democráticos, y calidad de la comunicación.</w:t>
            </w:r>
          </w:p>
          <w:p>
            <w:pPr>
              <w:keepNext w:val="0"/>
              <w:keepLines w:val="0"/>
              <w:widowControl/>
              <w:spacing w:before="0" w:after="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Asistencia mínima aprobatoria: 80%.</w:t>
            </w:r>
          </w:p>
        </w:tc>
      </w:tr>
      <w:tr w:rsidR="004805C1" w:rsidRPr="004805C1" w14:paraId="30254ED3" w14:textId="77777777" w:rsidTr="4EC03A1E">
        <w:trPr>
          <w:trHeight w:val="319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7F153B6" w14:textId="77777777" w:rsidR="004F0231" w:rsidRPr="004805C1" w:rsidRDefault="004F0231" w:rsidP="00E44347">
            <w:pPr>
              <w:spacing w:line="259" w:lineRule="auto"/>
              <w:ind w:right="90"/>
              <w:jc w:val="both"/>
              <w:rPr>
                <w:rFonts w:ascii="Calibri" w:hAnsi="Calibri" w:cs="Calibri"/>
                <w:sz w:val="20"/>
                <w:szCs w:val="20"/>
              </w:rPr>
              <w:keepNext/>
            </w:pPr>
            <w:r w:rsidRPr="004805C1">
              <w:rPr>
                <w:rFonts w:ascii="Calibri" w:eastAsia="Calibri" w:hAnsi="Calibri" w:cs="Calibri"/>
                <w:sz w:val="20"/>
                <w:szCs w:val="20"/>
              </w:rPr>
              <w:t xml:space="preserve">Recursos de aprendizaje </w:t>
            </w:r>
          </w:p>
        </w:tc>
      </w:tr>
      <w:tr w:rsidR="004805C1" w:rsidRPr="004805C1" w14:paraId="60BC9D9D" w14:textId="77777777" w:rsidTr="4EC03A1E">
        <w:trPr>
          <w:trHeight w:val="3247"/>
        </w:trPr>
        <w:tc>
          <w:tcPr>
            <w:tcW w:w="9411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vAlign w:val="top"/>
          </w:tcPr>
          <w:p>
            <w:pPr>
              <w:keepNext/>
              <w:keepLines w:val="0"/>
              <w:widowControl/>
              <w:spacing w:before="0" w:after="4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Bibliografía básica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Schneier, B. y Sanders, N. E. (2025). Rewiring Democracy: How AI Will Transform Our Politics, Government, and Citizenship. MIT Press.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Habermas, J. (1996). Between Facts and Norms. MIT Press.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Svolik, M. W. (2019). Polarization versus Democracy. Journal of Democracy, 30(3), 20–32.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Wallerstein, I. (2004). World-Systems Analysis: An Introduction. Duke University Press, caps. 1–2.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Gudiño-Rosero, J. F. et al. (2024). Large language models (LLMs) as agents for augmented democracy. Philosophical Transactions of the Royal Society A, 382(2285), 20240100.</w:t>
            </w:r>
          </w:p>
          <w:p>
            <w:pPr>
              <w:keepNext/>
              <w:keepLines w:val="0"/>
              <w:widowControl/>
              <w:spacing w:before="60" w:after="4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Bibliografía complementaria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Fishkin, J. S. (2009). When the People Speak. Oxford University Press.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Sunstein, C. R. (2017). #Republic: Divided Democracy in the Age of Social Media. Princeton University Press.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Levitsky, S. y Way, L. A. (2002). Elections Without Democracy: The Rise of Competitive Authoritarianism. Journal of Democracy, 13(2), 51–65.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Appadurai, A. (1990). Disjuncture and Difference in the Global Cultural Economy. Theory, Culture &amp; Society, 7(2–3), 295–310.</w:t>
            </w:r>
          </w:p>
          <w:p>
            <w:pPr>
              <w:keepNext/>
              <w:keepLines w:val="0"/>
              <w:widowControl/>
              <w:spacing w:before="60" w:after="40" w:line="252" w:lineRule="auto"/>
              <w:ind w:left="0" w:firstLine="0"/>
              <w:jc w:val="left"/>
            </w:pPr>
            <w:r>
              <w:rPr>
                <w:rFonts w:ascii="Calibri" w:hAnsi="Calibri" w:cs="Calibri"/>
                <w:b/>
                <w:i w:val="0"/>
                <w:sz w:val="20"/>
              </w:rPr>
              <w:t>Recursos digitales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Sitio del curso: https://rovelazqu.github.io/ia-democracia-2026/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4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OECD AI Policy Observatory: https://oecd.ai/</w:t>
            </w:r>
          </w:p>
          <w:p>
            <w:pPr>
              <w:numPr>
                <w:ilvl w:val="0"/>
                <w:numId w:val="5"/>
              </w:numPr>
              <w:keepNext w:val="0"/>
              <w:keepLines/>
              <w:widowControl/>
              <w:spacing w:before="0" w:after="60" w:line="252" w:lineRule="auto"/>
              <w:ind w:left="691" w:hanging="346"/>
              <w:jc w:val="left"/>
            </w:pPr>
            <w:r>
              <w:rPr>
                <w:rFonts w:ascii="Calibri" w:hAnsi="Calibri" w:cs="Calibri"/>
                <w:b w:val="0"/>
                <w:i w:val="0"/>
                <w:sz w:val="20"/>
              </w:rPr>
              <w:t>UNESCO — Recomendación sobre la Ética de la Inteligencia Artificial: https://www.unesco.org/es/artificial-intelligence/recommendation-ethics</w:t>
            </w:r>
          </w:p>
        </w:tc>
      </w:tr>
    </w:tbl>
    <w:p w14:paraId="25D248F1" w14:textId="12F540D4" w:rsidR="00426744" w:rsidRPr="00E44347" w:rsidRDefault="00426744" w:rsidP="4EC03A1E">
      <w:pPr>
        <w:jc w:val="both"/>
        <w:rPr>
          <w:rFonts w:ascii="Calibri" w:hAnsi="Calibri" w:cs="Calibri"/>
          <w:color w:val="FF0000"/>
          <w:sz w:val="20"/>
          <w:szCs w:val="20"/>
        </w:rPr>
      </w:pPr>
    </w:p>
    <w:sectPr w:rsidR="00426744" w:rsidRPr="00E44347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8D6D5" w14:textId="77777777" w:rsidR="006B2980" w:rsidRDefault="006B2980" w:rsidP="00937543">
      <w:pPr>
        <w:spacing w:after="0" w:line="240" w:lineRule="auto"/>
      </w:pPr>
      <w:r>
        <w:separator/>
      </w:r>
    </w:p>
  </w:endnote>
  <w:endnote w:type="continuationSeparator" w:id="0">
    <w:p w14:paraId="0AEA825C" w14:textId="77777777" w:rsidR="006B2980" w:rsidRDefault="006B2980" w:rsidP="00937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0F1AD" w14:textId="77777777" w:rsidR="006B2980" w:rsidRDefault="006B2980" w:rsidP="00937543">
      <w:pPr>
        <w:spacing w:after="0" w:line="240" w:lineRule="auto"/>
      </w:pPr>
      <w:r>
        <w:separator/>
      </w:r>
    </w:p>
  </w:footnote>
  <w:footnote w:type="continuationSeparator" w:id="0">
    <w:p w14:paraId="4B234A2E" w14:textId="77777777" w:rsidR="006B2980" w:rsidRDefault="006B2980" w:rsidP="00937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1E581" w14:textId="5B0D54C0" w:rsidR="00937543" w:rsidRPr="005315EB" w:rsidRDefault="00274540" w:rsidP="00274540">
    <w:pPr>
      <w:pStyle w:val="Encabezado"/>
      <w:jc w:val="right"/>
      <w:rPr>
        <w:rFonts w:ascii="Calibri" w:hAnsi="Calibri" w:cs="Calibri"/>
        <w:b/>
        <w:bCs/>
        <w:sz w:val="16"/>
        <w:szCs w:val="16"/>
        <w:lang w:val="es-ES"/>
      </w:rPr>
    </w:pPr>
    <w:r w:rsidRPr="005315EB">
      <w:rPr>
        <w:rFonts w:ascii="Calibri" w:hAnsi="Calibri" w:cs="Calibri"/>
        <w:b/>
        <w:bCs/>
        <w:sz w:val="16"/>
        <w:szCs w:val="16"/>
        <w:lang w:val="es-ES"/>
      </w:rPr>
      <w:t>SUBDIRECCIÓN DOCENCIA PREGRADO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EC5"/>
    <w:multiLevelType w:val="hybridMultilevel"/>
    <w:tmpl w:val="7C58CAA4"/>
    <w:lvl w:ilvl="0" w:tplc="A754E8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A01AF2">
      <w:start w:val="1"/>
      <w:numFmt w:val="bullet"/>
      <w:lvlText w:val="o"/>
      <w:lvlJc w:val="left"/>
      <w:pPr>
        <w:ind w:left="15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4239EC">
      <w:start w:val="1"/>
      <w:numFmt w:val="bullet"/>
      <w:lvlText w:val="▪"/>
      <w:lvlJc w:val="left"/>
      <w:pPr>
        <w:ind w:left="2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EE2CB0">
      <w:start w:val="1"/>
      <w:numFmt w:val="bullet"/>
      <w:lvlText w:val="•"/>
      <w:lvlJc w:val="left"/>
      <w:pPr>
        <w:ind w:left="29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2C2FB0">
      <w:start w:val="1"/>
      <w:numFmt w:val="bullet"/>
      <w:lvlText w:val="o"/>
      <w:lvlJc w:val="left"/>
      <w:pPr>
        <w:ind w:left="37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D01D3E">
      <w:start w:val="1"/>
      <w:numFmt w:val="bullet"/>
      <w:lvlText w:val="▪"/>
      <w:lvlJc w:val="left"/>
      <w:pPr>
        <w:ind w:left="4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3A3524">
      <w:start w:val="1"/>
      <w:numFmt w:val="bullet"/>
      <w:lvlText w:val="•"/>
      <w:lvlJc w:val="left"/>
      <w:pPr>
        <w:ind w:left="5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1E34CE">
      <w:start w:val="1"/>
      <w:numFmt w:val="bullet"/>
      <w:lvlText w:val="o"/>
      <w:lvlJc w:val="left"/>
      <w:pPr>
        <w:ind w:left="5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D60B0A">
      <w:start w:val="1"/>
      <w:numFmt w:val="bullet"/>
      <w:lvlText w:val="▪"/>
      <w:lvlJc w:val="left"/>
      <w:pPr>
        <w:ind w:left="6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37676F"/>
    <w:multiLevelType w:val="multilevel"/>
    <w:tmpl w:val="A1EC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D2B44"/>
    <w:multiLevelType w:val="multilevel"/>
    <w:tmpl w:val="302A46A6"/>
    <w:lvl w:ilvl="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E91773"/>
    <w:multiLevelType w:val="multilevel"/>
    <w:tmpl w:val="962A7690"/>
    <w:lvl w:ilvl="0">
      <w:start w:val="1"/>
      <w:numFmt w:val="decimal"/>
      <w:lvlText w:val="%1."/>
      <w:lvlJc w:val="left"/>
      <w:pPr>
        <w:ind w:left="7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5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2A2DB2"/>
    <w:multiLevelType w:val="multilevel"/>
    <w:tmpl w:val="92486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6B5DEB"/>
    <w:multiLevelType w:val="multilevel"/>
    <w:tmpl w:val="778CDA84"/>
    <w:lvl w:ilvl="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20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8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0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2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4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67"/>
      </w:pPr>
      <w:rPr>
        <w:rFonts w:ascii="Calibri" w:eastAsia="Calibri" w:hAnsi="Calibri" w:cs="Calibri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FC139A"/>
    <w:multiLevelType w:val="multilevel"/>
    <w:tmpl w:val="561A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2375F5"/>
    <w:multiLevelType w:val="multilevel"/>
    <w:tmpl w:val="ED7A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91BC2"/>
    <w:multiLevelType w:val="hybridMultilevel"/>
    <w:tmpl w:val="3D5C3B38"/>
    <w:lvl w:ilvl="0" w:tplc="5192CBC0">
      <w:start w:val="1"/>
      <w:numFmt w:val="bullet"/>
      <w:lvlText w:val="-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045466">
      <w:start w:val="1"/>
      <w:numFmt w:val="bullet"/>
      <w:lvlText w:val="o"/>
      <w:lvlJc w:val="left"/>
      <w:pPr>
        <w:ind w:left="1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8057F2">
      <w:start w:val="1"/>
      <w:numFmt w:val="bullet"/>
      <w:lvlText w:val="▪"/>
      <w:lvlJc w:val="left"/>
      <w:pPr>
        <w:ind w:left="2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22B4A4">
      <w:start w:val="1"/>
      <w:numFmt w:val="bullet"/>
      <w:lvlText w:val="•"/>
      <w:lvlJc w:val="left"/>
      <w:pPr>
        <w:ind w:left="29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4C6A8">
      <w:start w:val="1"/>
      <w:numFmt w:val="bullet"/>
      <w:lvlText w:val="o"/>
      <w:lvlJc w:val="left"/>
      <w:pPr>
        <w:ind w:left="3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EF21792">
      <w:start w:val="1"/>
      <w:numFmt w:val="bullet"/>
      <w:lvlText w:val="▪"/>
      <w:lvlJc w:val="left"/>
      <w:pPr>
        <w:ind w:left="44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962DE4">
      <w:start w:val="1"/>
      <w:numFmt w:val="bullet"/>
      <w:lvlText w:val="•"/>
      <w:lvlJc w:val="left"/>
      <w:pPr>
        <w:ind w:left="5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C4987C">
      <w:start w:val="1"/>
      <w:numFmt w:val="bullet"/>
      <w:lvlText w:val="o"/>
      <w:lvlJc w:val="left"/>
      <w:pPr>
        <w:ind w:left="5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5A0724">
      <w:start w:val="1"/>
      <w:numFmt w:val="bullet"/>
      <w:lvlText w:val="▪"/>
      <w:lvlJc w:val="left"/>
      <w:pPr>
        <w:ind w:left="6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0037996">
    <w:abstractNumId w:val="4"/>
  </w:num>
  <w:num w:numId="2" w16cid:durableId="396629291">
    <w:abstractNumId w:val="3"/>
  </w:num>
  <w:num w:numId="3" w16cid:durableId="1008868067">
    <w:abstractNumId w:val="2"/>
  </w:num>
  <w:num w:numId="4" w16cid:durableId="1652754364">
    <w:abstractNumId w:val="5"/>
  </w:num>
  <w:num w:numId="5" w16cid:durableId="1077896050">
    <w:abstractNumId w:val="0"/>
  </w:num>
  <w:num w:numId="6" w16cid:durableId="864245789">
    <w:abstractNumId w:val="8"/>
  </w:num>
  <w:num w:numId="7" w16cid:durableId="1471678106">
    <w:abstractNumId w:val="6"/>
  </w:num>
  <w:num w:numId="8" w16cid:durableId="758020825">
    <w:abstractNumId w:val="7"/>
  </w:num>
  <w:num w:numId="9" w16cid:durableId="94530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B0"/>
    <w:rsid w:val="000126FF"/>
    <w:rsid w:val="000403CB"/>
    <w:rsid w:val="00041090"/>
    <w:rsid w:val="000512C7"/>
    <w:rsid w:val="0008336A"/>
    <w:rsid w:val="00095838"/>
    <w:rsid w:val="00216B51"/>
    <w:rsid w:val="00274540"/>
    <w:rsid w:val="00396118"/>
    <w:rsid w:val="00406338"/>
    <w:rsid w:val="00420577"/>
    <w:rsid w:val="00426744"/>
    <w:rsid w:val="004805C1"/>
    <w:rsid w:val="004F0231"/>
    <w:rsid w:val="005315EB"/>
    <w:rsid w:val="00533EDF"/>
    <w:rsid w:val="00585F34"/>
    <w:rsid w:val="00680DC6"/>
    <w:rsid w:val="006874E0"/>
    <w:rsid w:val="006B2980"/>
    <w:rsid w:val="00721C71"/>
    <w:rsid w:val="00774E17"/>
    <w:rsid w:val="007C01C4"/>
    <w:rsid w:val="007E21B0"/>
    <w:rsid w:val="007F643F"/>
    <w:rsid w:val="00801806"/>
    <w:rsid w:val="00831F28"/>
    <w:rsid w:val="00841784"/>
    <w:rsid w:val="008808F9"/>
    <w:rsid w:val="008B4289"/>
    <w:rsid w:val="0092228F"/>
    <w:rsid w:val="00937543"/>
    <w:rsid w:val="00A018C9"/>
    <w:rsid w:val="00A05728"/>
    <w:rsid w:val="00A226BB"/>
    <w:rsid w:val="00A719CF"/>
    <w:rsid w:val="00AA2A0F"/>
    <w:rsid w:val="00AB3363"/>
    <w:rsid w:val="00AB607A"/>
    <w:rsid w:val="00BE1DF0"/>
    <w:rsid w:val="00C71C9E"/>
    <w:rsid w:val="00DA5F2C"/>
    <w:rsid w:val="00E44347"/>
    <w:rsid w:val="00E45E2C"/>
    <w:rsid w:val="00EB1030"/>
    <w:rsid w:val="00F72B39"/>
    <w:rsid w:val="00F95FB8"/>
    <w:rsid w:val="033283F8"/>
    <w:rsid w:val="089AD926"/>
    <w:rsid w:val="08A992BD"/>
    <w:rsid w:val="0F2CE358"/>
    <w:rsid w:val="13B564F2"/>
    <w:rsid w:val="15C6FB74"/>
    <w:rsid w:val="26FEE631"/>
    <w:rsid w:val="2A5B0BC9"/>
    <w:rsid w:val="2DEE4131"/>
    <w:rsid w:val="4B006424"/>
    <w:rsid w:val="4EC03A1E"/>
    <w:rsid w:val="60F8ADB9"/>
    <w:rsid w:val="6F274610"/>
    <w:rsid w:val="7E43C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7E822"/>
  <w15:chartTrackingRefBased/>
  <w15:docId w15:val="{831997E3-2EFE-BD4E-963C-2EA2D311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2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2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2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2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2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2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21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2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2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2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2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2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2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21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2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21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21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21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customStyle="1" w:styleId="TableGrid">
    <w:name w:val="TableGrid"/>
    <w:rsid w:val="004F0231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9375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7543"/>
  </w:style>
  <w:style w:type="paragraph" w:styleId="Piedepgina">
    <w:name w:val="footer"/>
    <w:basedOn w:val="Normal"/>
    <w:link w:val="PiedepginaCar"/>
    <w:uiPriority w:val="99"/>
    <w:unhideWhenUsed/>
    <w:rsid w:val="009375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75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8D7F593D523649ACC0B7F04DFA6BBA" ma:contentTypeVersion="3" ma:contentTypeDescription="Create a new document." ma:contentTypeScope="" ma:versionID="8c21910a7645ed9b645d20b931f009c1">
  <xsd:schema xmlns:xsd="http://www.w3.org/2001/XMLSchema" xmlns:xs="http://www.w3.org/2001/XMLSchema" xmlns:p="http://schemas.microsoft.com/office/2006/metadata/properties" xmlns:ns2="15ec0df2-9b45-4517-8e6c-166b6ec62497" targetNamespace="http://schemas.microsoft.com/office/2006/metadata/properties" ma:root="true" ma:fieldsID="fb81daf4953f85c23886b7a50e1c3103" ns2:_="">
    <xsd:import namespace="15ec0df2-9b45-4517-8e6c-166b6ec624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c0df2-9b45-4517-8e6c-166b6ec6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A83448-7408-48B3-B3A1-FA5B1135A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c0df2-9b45-4517-8e6c-166b6ec62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257B62-252E-4822-8260-E30CB3F7E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9F082F-D954-433C-9268-3092A4992E3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912</Words>
  <Characters>5022</Characters>
  <Application>Microsoft Office Word</Application>
  <DocSecurity>0</DocSecurity>
  <Lines>41</Lines>
  <Paragraphs>11</Paragraphs>
  <ScaleCrop>false</ScaleCrop>
  <Company/>
  <LinksUpToDate>false</LinksUpToDate>
  <CharactersWithSpaces>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asignatura — Inteligencia Artificial y Democracia</dc:title>
  <dc:subject>Programa institucional 2026</dc:subject>
  <dc:creator>Universidad Adolfo Ibáñez</dc:creator>
  <cp:keywords/>
  <dc:description/>
  <cp:lastModifiedBy>Jennifer Carrasco</cp:lastModifiedBy>
  <cp:revision>41</cp:revision>
  <dcterms:created xsi:type="dcterms:W3CDTF">2026-04-21T03:38:00Z</dcterms:created>
  <dcterms:modified xsi:type="dcterms:W3CDTF">2026-07-07T20:39:00Z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0x010100E68D7F593D523649ACC0B7F04DFA6BBA</vt:lpwstr>
  </property>
</Properties>
</file>