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56"/>
        </w:rPr>
        <w:t>Guide d'installation</w:t>
      </w:r>
    </w:p>
    <w:p>
      <w:pPr>
        <w:jc w:val="center"/>
      </w:pPr>
      <w:r>
        <w:rPr>
          <w:sz w:val="28"/>
        </w:rPr>
        <w:t>NeuroRéponse — application rTMS + LSTM (EEG / ECG)</w:t>
      </w:r>
    </w:p>
    <w:p>
      <w:pPr>
        <w:jc w:val="center"/>
      </w:pPr>
      <w:r>
        <w:rPr>
          <w:i/>
          <w:sz w:val="22"/>
        </w:rPr>
        <w:t>PFE 2026 — déploiement sur une nouvelle machine</w:t>
      </w:r>
    </w:p>
    <w:p/>
    <w:p>
      <w:r>
        <w:t>Ce document décrit, pas à pas, l'installation complète de l'application sur une machine vierge : dépendances, initialisation de la base, entraînement du modèle et lancement de l'interface. Il couvre aussi la préparation optionnelle de la cohorte réelle TDBRAIN. Pour l'utilisation de l'application une fois installée, voir le « Guide d'utilisation ».</w:t>
      </w:r>
    </w:p>
    <w:p>
      <w:pPr>
        <w:pStyle w:val="Heading1"/>
      </w:pPr>
      <w:r>
        <w:rPr>
          <w:color w:val="1E3A8A"/>
        </w:rPr>
        <w:t>1. Aperçu de l'installation</w:t>
      </w:r>
    </w:p>
    <w:p>
      <w:r>
        <w:t>L'installation se fait en deux temps. La cohorte simulée suffit pour démarrer et n'exige aucun téléchargement externe ; la cohorte réelle TDBRAIN est optionnelle et soumise à un accord d'utilisation.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Étape</w:t>
            </w:r>
          </w:p>
        </w:tc>
        <w:tc>
          <w:tcPr>
            <w:tcW w:type="dxa" w:w="2880"/>
          </w:tcPr>
          <w:p>
            <w:r/>
            <w:r>
              <w:rPr>
                <w:b/>
                <w:sz w:val="18"/>
              </w:rPr>
              <w:t>Durée indicative</w:t>
            </w:r>
          </w:p>
        </w:tc>
        <w:tc>
          <w:tcPr>
            <w:tcW w:type="dxa" w:w="2880"/>
          </w:tcPr>
          <w:p>
            <w:r/>
            <w:r>
              <w:rPr>
                <w:b/>
                <w:sz w:val="18"/>
              </w:rPr>
              <w:t>Obligatoire ?</w:t>
            </w:r>
          </w:p>
        </w:tc>
      </w:tr>
      <w:tr>
        <w:tc>
          <w:tcPr>
            <w:tcW w:type="dxa" w:w="2880"/>
          </w:tcPr>
          <w:p>
            <w:r/>
            <w:r>
              <w:rPr>
                <w:sz w:val="18"/>
              </w:rPr>
              <w:t>1 à 3 — Python, environnement, dépendances</w:t>
            </w:r>
          </w:p>
        </w:tc>
        <w:tc>
          <w:tcPr>
            <w:tcW w:type="dxa" w:w="2880"/>
          </w:tcPr>
          <w:p>
            <w:r/>
            <w:r>
              <w:rPr>
                <w:sz w:val="18"/>
              </w:rPr>
              <w:t>10–20 min</w:t>
            </w:r>
          </w:p>
        </w:tc>
        <w:tc>
          <w:tcPr>
            <w:tcW w:type="dxa" w:w="2880"/>
          </w:tcPr>
          <w:p>
            <w:r/>
            <w:r>
              <w:rPr>
                <w:sz w:val="18"/>
              </w:rPr>
              <w:t>Oui</w:t>
            </w:r>
          </w:p>
        </w:tc>
      </w:tr>
      <w:tr>
        <w:tc>
          <w:tcPr>
            <w:tcW w:type="dxa" w:w="2880"/>
          </w:tcPr>
          <w:p>
            <w:r/>
            <w:r>
              <w:rPr>
                <w:sz w:val="18"/>
              </w:rPr>
              <w:t>4 — Vérification (tests)</w:t>
            </w:r>
          </w:p>
        </w:tc>
        <w:tc>
          <w:tcPr>
            <w:tcW w:type="dxa" w:w="2880"/>
          </w:tcPr>
          <w:p>
            <w:r/>
            <w:r>
              <w:rPr>
                <w:sz w:val="18"/>
              </w:rPr>
              <w:t>2 min</w:t>
            </w:r>
          </w:p>
        </w:tc>
        <w:tc>
          <w:tcPr>
            <w:tcW w:type="dxa" w:w="2880"/>
          </w:tcPr>
          <w:p>
            <w:r/>
            <w:r>
              <w:rPr>
                <w:sz w:val="18"/>
              </w:rPr>
              <w:t>Recommandé</w:t>
            </w:r>
          </w:p>
        </w:tc>
      </w:tr>
      <w:tr>
        <w:tc>
          <w:tcPr>
            <w:tcW w:type="dxa" w:w="2880"/>
          </w:tcPr>
          <w:p>
            <w:r/>
            <w:r>
              <w:rPr>
                <w:sz w:val="18"/>
              </w:rPr>
              <w:t>5 — Initialiser la cohorte simulée</w:t>
            </w:r>
          </w:p>
        </w:tc>
        <w:tc>
          <w:tcPr>
            <w:tcW w:type="dxa" w:w="2880"/>
          </w:tcPr>
          <w:p>
            <w:r/>
            <w:r>
              <w:rPr>
                <w:sz w:val="18"/>
              </w:rPr>
              <w:t>&lt; 1 min</w:t>
            </w:r>
          </w:p>
        </w:tc>
        <w:tc>
          <w:tcPr>
            <w:tcW w:type="dxa" w:w="2880"/>
          </w:tcPr>
          <w:p>
            <w:r/>
            <w:r>
              <w:rPr>
                <w:sz w:val="18"/>
              </w:rPr>
              <w:t>Oui</w:t>
            </w:r>
          </w:p>
        </w:tc>
      </w:tr>
      <w:tr>
        <w:tc>
          <w:tcPr>
            <w:tcW w:type="dxa" w:w="2880"/>
          </w:tcPr>
          <w:p>
            <w:r/>
            <w:r>
              <w:rPr>
                <w:sz w:val="18"/>
              </w:rPr>
              <w:t>6 — Entraîner le modèle simulé</w:t>
            </w:r>
          </w:p>
        </w:tc>
        <w:tc>
          <w:tcPr>
            <w:tcW w:type="dxa" w:w="2880"/>
          </w:tcPr>
          <w:p>
            <w:r/>
            <w:r>
              <w:rPr>
                <w:sz w:val="18"/>
              </w:rPr>
              <w:t>1–3 min</w:t>
            </w:r>
          </w:p>
        </w:tc>
        <w:tc>
          <w:tcPr>
            <w:tcW w:type="dxa" w:w="2880"/>
          </w:tcPr>
          <w:p>
            <w:r/>
            <w:r>
              <w:rPr>
                <w:sz w:val="18"/>
              </w:rPr>
              <w:t>Oui (sinon pas de prédiction)</w:t>
            </w:r>
          </w:p>
        </w:tc>
      </w:tr>
      <w:tr>
        <w:tc>
          <w:tcPr>
            <w:tcW w:type="dxa" w:w="2880"/>
          </w:tcPr>
          <w:p>
            <w:r/>
            <w:r>
              <w:rPr>
                <w:sz w:val="18"/>
              </w:rPr>
              <w:t>7 — Lancer l'application</w:t>
            </w:r>
          </w:p>
        </w:tc>
        <w:tc>
          <w:tcPr>
            <w:tcW w:type="dxa" w:w="2880"/>
          </w:tcPr>
          <w:p>
            <w:r/>
            <w:r>
              <w:rPr>
                <w:sz w:val="18"/>
              </w:rPr>
              <w:t>immédiat</w:t>
            </w:r>
          </w:p>
        </w:tc>
        <w:tc>
          <w:tcPr>
            <w:tcW w:type="dxa" w:w="2880"/>
          </w:tcPr>
          <w:p>
            <w:r/>
            <w:r>
              <w:rPr>
                <w:sz w:val="18"/>
              </w:rPr>
              <w:t>Oui</w:t>
            </w:r>
          </w:p>
        </w:tc>
      </w:tr>
      <w:tr>
        <w:tc>
          <w:tcPr>
            <w:tcW w:type="dxa" w:w="2880"/>
          </w:tcPr>
          <w:p>
            <w:r/>
            <w:r>
              <w:rPr>
                <w:sz w:val="18"/>
              </w:rPr>
              <w:t>8 — Cohorte réelle TDBRAIN</w:t>
            </w:r>
          </w:p>
        </w:tc>
        <w:tc>
          <w:tcPr>
            <w:tcW w:type="dxa" w:w="2880"/>
          </w:tcPr>
          <w:p>
            <w:r/>
            <w:r>
              <w:rPr>
                <w:sz w:val="18"/>
              </w:rPr>
              <w:t>≈ 14,5 Go + 10–30 min</w:t>
            </w:r>
          </w:p>
        </w:tc>
        <w:tc>
          <w:tcPr>
            <w:tcW w:type="dxa" w:w="2880"/>
          </w:tcPr>
          <w:p>
            <w:r/>
            <w:r>
              <w:rPr>
                <w:sz w:val="18"/>
              </w:rPr>
              <w:t>Non (optionnel)</w:t>
            </w:r>
          </w:p>
        </w:tc>
      </w:tr>
      <w:tr>
        <w:tc>
          <w:tcPr>
            <w:tcW w:type="dxa" w:w="2880"/>
          </w:tcPr>
          <w:p>
            <w:r/>
            <w:r>
              <w:rPr>
                <w:sz w:val="18"/>
              </w:rPr>
              <w:t>9 — Régénérer la documentation</w:t>
            </w:r>
          </w:p>
        </w:tc>
        <w:tc>
          <w:tcPr>
            <w:tcW w:type="dxa" w:w="2880"/>
          </w:tcPr>
          <w:p>
            <w:r/>
            <w:r>
              <w:rPr>
                <w:sz w:val="18"/>
              </w:rPr>
              <w:t>5 min</w:t>
            </w:r>
          </w:p>
        </w:tc>
        <w:tc>
          <w:tcPr>
            <w:tcW w:type="dxa" w:w="2880"/>
          </w:tcPr>
          <w:p>
            <w:r/>
            <w:r>
              <w:rPr>
                <w:sz w:val="18"/>
              </w:rPr>
              <w:t>Non (optionnel)</w:t>
            </w:r>
          </w:p>
        </w:tc>
      </w:tr>
    </w:tbl>
    <w:p/>
    <w:p>
      <w:r>
        <w:br w:type="page"/>
      </w:r>
    </w:p>
    <w:p>
      <w:pPr>
        <w:pStyle w:val="Heading1"/>
      </w:pPr>
      <w:r>
        <w:rPr>
          <w:color w:val="1E3A8A"/>
        </w:rPr>
        <w:t>2. Prérequis</w:t>
      </w:r>
    </w:p>
    <w:p>
      <w:pPr>
        <w:pStyle w:val="Heading2"/>
      </w:pPr>
      <w:r>
        <w:rPr>
          <w:color w:val="1E3A8A"/>
        </w:rPr>
        <w:t>2.1 Logiciels</w:t>
      </w:r>
    </w:p>
    <w:p>
      <w:pPr>
        <w:pStyle w:val="ListBullet"/>
      </w:pPr>
      <w:r>
        <w:t>Python 3.11 ou plus récent — développé et testé sur Python 3.14.</w:t>
      </w:r>
    </w:p>
    <w:p>
      <w:pPr>
        <w:pStyle w:val="ListBullet"/>
      </w:pPr>
      <w:r>
        <w:t>pip (fourni avec Python) et le module venv.</w:t>
      </w:r>
    </w:p>
    <w:p>
      <w:pPr>
        <w:pStyle w:val="ListBullet"/>
      </w:pPr>
      <w:r>
        <w:t>Git, si le projet est récupéré depuis un dépôt.</w:t>
      </w:r>
    </w:p>
    <w:p>
      <w:pPr>
        <w:pStyle w:val="ListBullet"/>
      </w:pPr>
      <w:r>
        <w:t>Un navigateur web récent : l'interface Streamlit s'ouvre dedans.</w:t>
      </w:r>
    </w:p>
    <w:p>
      <w:pPr>
        <w:spacing w:before="80" w:after="160"/>
      </w:pPr>
      <w:r>
        <w:rPr>
          <w:b/>
          <w:color w:val="B45309"/>
        </w:rPr>
        <w:t xml:space="preserve">Note : </w:t>
      </w:r>
      <w:r>
        <w:t>TensorFlow n'est pas utilisé : il ne fournit pas de paquet pour Python 3.14. Le modèle LSTM est écrit en PyTorch (CPU), l'architecture et les métriques sont identiques à celles décrites dans le document de conception.</w:t>
      </w:r>
    </w:p>
    <w:p>
      <w:pPr>
        <w:pStyle w:val="Heading2"/>
      </w:pPr>
      <w:r>
        <w:rPr>
          <w:color w:val="1E3A8A"/>
        </w:rPr>
        <w:t>2.2 Matériel</w:t>
      </w:r>
    </w:p>
    <w:p>
      <w:pPr>
        <w:pStyle w:val="ListBullet"/>
      </w:pPr>
      <w:r>
        <w:t>Environ 2 Go d'espace disque pour Python + PyTorch + dépendances.</w:t>
      </w:r>
    </w:p>
    <w:p>
      <w:pPr>
        <w:pStyle w:val="ListBullet"/>
      </w:pPr>
      <w:r>
        <w:t>Aucune carte graphique requise : tout tourne sur CPU.</w:t>
      </w:r>
    </w:p>
    <w:p>
      <w:pPr>
        <w:pStyle w:val="ListBullet"/>
      </w:pPr>
      <w:r>
        <w:t>4 Go de RAM suffisent pour la cohorte simulée.</w:t>
      </w:r>
    </w:p>
    <w:p>
      <w:pPr>
        <w:pStyle w:val="ListBullet"/>
      </w:pPr>
      <w:r>
        <w:t>Pour la cohorte réelle TDBRAIN : environ 15 Go supplémentaires pour l'archive, plus ≈ 250 Mo pour la base SQLite générée.</w:t>
      </w:r>
    </w:p>
    <w:p>
      <w:pPr>
        <w:pStyle w:val="Heading2"/>
      </w:pPr>
      <w:r>
        <w:rPr>
          <w:color w:val="1E3A8A"/>
        </w:rPr>
        <w:t>2.3 Systèmes d'exploitation</w:t>
      </w:r>
    </w:p>
    <w:p>
      <w:r>
        <w:t>Le projet est développé sous Windows 11 (PowerShell). Il fonctionne aussi sous Linux et macOS ; seules les commandes d'activation de l'environnement virtuel changent, elles sont indiquées à l'étape 2.</w:t>
      </w:r>
    </w:p>
    <w:p>
      <w:pPr>
        <w:pStyle w:val="Heading1"/>
      </w:pPr>
      <w:r>
        <w:rPr>
          <w:color w:val="1E3A8A"/>
        </w:rPr>
        <w:t>3. Installation pas à pas</w:t>
      </w:r>
    </w:p>
    <w:p>
      <w:pPr>
        <w:pStyle w:val="Heading2"/>
      </w:pPr>
      <w:r>
        <w:rPr>
          <w:color w:val="1E3A8A"/>
        </w:rPr>
        <w:t>Étape 1 — Récupérer le projet</w:t>
      </w:r>
    </w:p>
    <w:p>
      <w:r>
        <w:t>Depuis un dépôt Git :</w:t>
      </w:r>
    </w:p>
    <w:p>
      <w:pPr>
        <w:spacing w:after="40"/>
        <w:ind w:left="283"/>
      </w:pPr>
      <w:r>
        <w:rPr>
          <w:rFonts w:ascii="Consolas" w:hAnsi="Consolas"/>
          <w:color w:val="333333"/>
          <w:sz w:val="20"/>
        </w:rPr>
        <w:t>git clone &lt;url-du-depot&gt; NeuroReponse</w:t>
      </w:r>
    </w:p>
    <w:p>
      <w:pPr>
        <w:spacing w:after="40"/>
        <w:ind w:left="283"/>
      </w:pPr>
      <w:r>
        <w:rPr>
          <w:rFonts w:ascii="Consolas" w:hAnsi="Consolas"/>
          <w:color w:val="333333"/>
          <w:sz w:val="20"/>
        </w:rPr>
        <w:t>cd NeuroReponse</w:t>
      </w:r>
    </w:p>
    <w:p>
      <w:r>
        <w:t>Ou bien copier le dossier du projet, puis ouvrir une console dans ce dossier. Toutes les commandes de ce guide s'exécutent depuis la racine du projet (le dossier qui contient requirements.txt).</w:t>
      </w:r>
    </w:p>
    <w:p>
      <w:pPr>
        <w:pStyle w:val="Heading2"/>
      </w:pPr>
      <w:r>
        <w:rPr>
          <w:color w:val="1E3A8A"/>
        </w:rPr>
        <w:t>Étape 2 — Créer un environnement virtuel</w:t>
      </w:r>
    </w:p>
    <w:p>
      <w:r>
        <w:t>Windows (PowerShell) :</w:t>
      </w:r>
    </w:p>
    <w:p>
      <w:pPr>
        <w:spacing w:after="40"/>
        <w:ind w:left="283"/>
      </w:pPr>
      <w:r>
        <w:rPr>
          <w:rFonts w:ascii="Consolas" w:hAnsi="Consolas"/>
          <w:color w:val="333333"/>
          <w:sz w:val="20"/>
        </w:rPr>
        <w:t>python -m venv .venv</w:t>
      </w:r>
    </w:p>
    <w:p>
      <w:pPr>
        <w:spacing w:after="40"/>
        <w:ind w:left="283"/>
      </w:pPr>
      <w:r>
        <w:rPr>
          <w:rFonts w:ascii="Consolas" w:hAnsi="Consolas"/>
          <w:color w:val="333333"/>
          <w:sz w:val="20"/>
        </w:rPr>
        <w:t>.\.venv\Scripts\Activate.ps1</w:t>
      </w:r>
    </w:p>
    <w:p>
      <w:r>
        <w:t>Linux / macOS :</w:t>
      </w:r>
    </w:p>
    <w:p>
      <w:pPr>
        <w:spacing w:after="40"/>
        <w:ind w:left="283"/>
      </w:pPr>
      <w:r>
        <w:rPr>
          <w:rFonts w:ascii="Consolas" w:hAnsi="Consolas"/>
          <w:color w:val="333333"/>
          <w:sz w:val="20"/>
        </w:rPr>
        <w:t>python3 -m venv .venv</w:t>
      </w:r>
    </w:p>
    <w:p>
      <w:pPr>
        <w:spacing w:after="40"/>
        <w:ind w:left="283"/>
      </w:pPr>
      <w:r>
        <w:rPr>
          <w:rFonts w:ascii="Consolas" w:hAnsi="Consolas"/>
          <w:color w:val="333333"/>
          <w:sz w:val="20"/>
        </w:rPr>
        <w:t>source .venv/bin/activate</w:t>
      </w:r>
    </w:p>
    <w:p>
      <w:pPr>
        <w:spacing w:before="80" w:after="160"/>
      </w:pPr>
      <w:r>
        <w:rPr>
          <w:b/>
          <w:color w:val="B45309"/>
        </w:rPr>
        <w:t xml:space="preserve">Note : </w:t>
      </w:r>
      <w:r>
        <w:t>Si PowerShell refuse d'exécuter le script d'activation, autoriser les scripts pour la session en cours : Set-ExecutionPolicy -Scope Process -ExecutionPolicy Bypass</w:t>
      </w:r>
    </w:p>
    <w:p>
      <w:pPr>
        <w:pStyle w:val="Heading2"/>
      </w:pPr>
      <w:r>
        <w:rPr>
          <w:color w:val="1E3A8A"/>
        </w:rPr>
        <w:t>Étape 3 — Installer les dépendances</w:t>
      </w:r>
    </w:p>
    <w:p>
      <w:pPr>
        <w:spacing w:after="80"/>
      </w:pPr>
      <w:r>
        <w:rPr>
          <w:b/>
        </w:rPr>
        <w:t xml:space="preserve">Étape 1. </w:t>
      </w:r>
      <w:r>
        <w:t>Mettre pip à jour, puis installer les dépendances du projet :</w:t>
      </w:r>
    </w:p>
    <w:p>
      <w:pPr>
        <w:spacing w:after="40"/>
        <w:ind w:left="283"/>
      </w:pPr>
      <w:r>
        <w:rPr>
          <w:rFonts w:ascii="Consolas" w:hAnsi="Consolas"/>
          <w:color w:val="333333"/>
          <w:sz w:val="20"/>
        </w:rPr>
        <w:t>python -m pip install --upgrade pip</w:t>
      </w:r>
    </w:p>
    <w:p>
      <w:pPr>
        <w:spacing w:after="40"/>
        <w:ind w:left="283"/>
      </w:pPr>
      <w:r>
        <w:rPr>
          <w:rFonts w:ascii="Consolas" w:hAnsi="Consolas"/>
          <w:color w:val="333333"/>
          <w:sz w:val="20"/>
        </w:rPr>
        <w:t>pip install -r requirements.txt</w:t>
      </w:r>
    </w:p>
    <w:p>
      <w:pPr>
        <w:spacing w:after="80"/>
      </w:pPr>
      <w:r>
        <w:rPr>
          <w:b/>
        </w:rPr>
        <w:t xml:space="preserve">Étape 2. </w:t>
      </w:r>
      <w:r>
        <w:t>Si PyTorch n'est pas disponible pour votre plateforme via la commande précédente, l'installer depuis l'index CPU officiel :</w:t>
      </w:r>
    </w:p>
    <w:p>
      <w:pPr>
        <w:spacing w:after="40"/>
        <w:ind w:left="283"/>
      </w:pPr>
      <w:r>
        <w:rPr>
          <w:rFonts w:ascii="Consolas" w:hAnsi="Consolas"/>
          <w:color w:val="333333"/>
          <w:sz w:val="20"/>
        </w:rPr>
        <w:t>pip install torch --index-url https://download.pytorch.org/whl/cpu</w:t>
      </w:r>
    </w:p>
    <w:p>
      <w:pPr>
        <w:spacing w:before="80" w:after="160"/>
      </w:pPr>
      <w:r>
        <w:rPr>
          <w:b/>
          <w:color w:val="B45309"/>
        </w:rPr>
        <w:t xml:space="preserve">Note : </w:t>
      </w:r>
      <w:r>
        <w:t>requirements.txt installe aussi mne (lecture des fichiers EEG BioSemi BDF), python-docx et playwright. Ces deux derniers ne servent qu'à régénérer la documentation (étape 9) ; ils n'empêchent pas l'application de fonctionner.</w:t>
      </w:r>
    </w:p>
    <w:p>
      <w:pPr>
        <w:pStyle w:val="Heading2"/>
      </w:pPr>
      <w:r>
        <w:rPr>
          <w:color w:val="1E3A8A"/>
        </w:rPr>
        <w:t>Étape 4 — Vérifier l'installation</w:t>
      </w:r>
    </w:p>
    <w:p>
      <w:r>
        <w:t>Cette étape n'est pas obligatoire mais confirme en deux minutes que l'environnement est sain avant d'aller plus loin.</w:t>
      </w:r>
    </w:p>
    <w:p>
      <w:pPr>
        <w:spacing w:after="40"/>
        <w:ind w:left="283"/>
      </w:pPr>
      <w:r>
        <w:rPr>
          <w:rFonts w:ascii="Consolas" w:hAnsi="Consolas"/>
          <w:color w:val="333333"/>
          <w:sz w:val="20"/>
        </w:rPr>
        <w:t>python -m pytest -q</w:t>
      </w:r>
    </w:p>
    <w:p>
      <w:pPr>
        <w:spacing w:after="40"/>
        <w:ind w:left="283"/>
      </w:pPr>
      <w:r>
        <w:rPr>
          <w:rFonts w:ascii="Consolas" w:hAnsi="Consolas"/>
          <w:color w:val="333333"/>
          <w:sz w:val="20"/>
        </w:rPr>
        <w:t>python -m ruff check src/ --select=E,F,I,UP --ignore=E501</w:t>
      </w:r>
    </w:p>
    <w:p>
      <w:r>
        <w:t>Résultat attendu : la totalité des tests passe et l'analyse statique ne signale rien. Les tests qui concernent la cohorte réelle utilisent un jeu de données synthétique et ne demandent aucun téléchargement.</w:t>
      </w:r>
    </w:p>
    <w:p>
      <w:pPr>
        <w:pStyle w:val="Heading2"/>
      </w:pPr>
      <w:r>
        <w:rPr>
          <w:color w:val="1E3A8A"/>
        </w:rPr>
        <w:t>Étape 5 — Initialiser la cohorte simulée</w:t>
      </w:r>
    </w:p>
    <w:p>
      <w:r>
        <w:t>Deux possibilités, au choix.</w:t>
      </w:r>
    </w:p>
    <w:p>
      <w:r>
        <w:t>Option A — depuis l'application (la plus simple) :</w:t>
      </w:r>
    </w:p>
    <w:p>
      <w:pPr>
        <w:pStyle w:val="ListBullet"/>
      </w:pPr>
      <w:r>
        <w:t>Lancer l'application (étape 7), puis cliquer sur le bouton « Initialiser avec les données simulées » de la page d'accueil. Le jeu de données est généré s'il n'existe pas, puis inséré en base.</w:t>
      </w:r>
    </w:p>
    <w:p>
      <w:r>
        <w:t>Option B — en ligne de commande :</w:t>
      </w:r>
    </w:p>
    <w:p>
      <w:pPr>
        <w:spacing w:after="40"/>
        <w:ind w:left="283"/>
      </w:pPr>
      <w:r>
        <w:rPr>
          <w:rFonts w:ascii="Consolas" w:hAnsi="Consolas"/>
          <w:color w:val="333333"/>
          <w:sz w:val="20"/>
        </w:rPr>
        <w:t>python -m src.data.simulator     # génère data/simulated/</w:t>
      </w:r>
    </w:p>
    <w:p>
      <w:pPr>
        <w:spacing w:after="40"/>
        <w:ind w:left="283"/>
      </w:pPr>
      <w:r>
        <w:rPr>
          <w:rFonts w:ascii="Consolas" w:hAnsi="Consolas"/>
          <w:color w:val="333333"/>
          <w:sz w:val="20"/>
        </w:rPr>
        <w:t>python -m src.data.seeder        # insère dans recherche.sqlite3</w:t>
      </w:r>
    </w:p>
    <w:p>
      <w:pPr>
        <w:spacing w:after="40"/>
        <w:ind w:left="283"/>
      </w:pPr>
      <w:r>
        <w:rPr>
          <w:rFonts w:ascii="Consolas" w:hAnsi="Consolas"/>
          <w:color w:val="333333"/>
          <w:sz w:val="20"/>
        </w:rPr>
      </w:r>
    </w:p>
    <w:p>
      <w:pPr>
        <w:spacing w:after="40"/>
        <w:ind w:left="283"/>
      </w:pPr>
      <w:r>
        <w:rPr>
          <w:rFonts w:ascii="Consolas" w:hAnsi="Consolas"/>
          <w:color w:val="333333"/>
          <w:sz w:val="20"/>
        </w:rPr>
        <w:t># Cohorte simulée *appariée* sur TDBRAIN (132 patients, 26 canaux + ECG),</w:t>
      </w:r>
    </w:p>
    <w:p>
      <w:pPr>
        <w:spacing w:after="40"/>
        <w:ind w:left="283"/>
      </w:pPr>
      <w:r>
        <w:rPr>
          <w:rFonts w:ascii="Consolas" w:hAnsi="Consolas"/>
          <w:color w:val="333333"/>
          <w:sz w:val="20"/>
        </w:rPr>
        <w:t># nécessaire aux deux modèles simulés de la comparaison 2x2 :</w:t>
      </w:r>
    </w:p>
    <w:p>
      <w:pPr>
        <w:spacing w:after="40"/>
        <w:ind w:left="283"/>
      </w:pPr>
      <w:r>
        <w:rPr>
          <w:rFonts w:ascii="Consolas" w:hAnsi="Consolas"/>
          <w:color w:val="333333"/>
          <w:sz w:val="20"/>
        </w:rPr>
        <w:t>python -m src.data.tdbrain_seeder --matched</w:t>
      </w:r>
    </w:p>
    <w:p>
      <w:pPr>
        <w:spacing w:before="80" w:after="160"/>
      </w:pPr>
      <w:r>
        <w:rPr>
          <w:b/>
          <w:color w:val="B45309"/>
        </w:rPr>
        <w:t xml:space="preserve">Note : </w:t>
      </w:r>
      <w:r>
        <w:t>Le dossier data/simulated/ et les fichiers *.sqlite3 sont exclus du dépôt Git : sur une machine neuve ils n'existent pas et doivent être régénérés par cette étape. C'est normal.</w:t>
      </w:r>
    </w:p>
    <w:p>
      <w:pPr>
        <w:pStyle w:val="Heading2"/>
      </w:pPr>
      <w:r>
        <w:rPr>
          <w:color w:val="1E3A8A"/>
        </w:rPr>
        <w:t>Étape 6 — Entraîner le modèle simulé</w:t>
      </w:r>
    </w:p>
    <w:p>
      <w:pPr>
        <w:spacing w:before="80" w:after="160"/>
      </w:pPr>
      <w:r>
        <w:rPr>
          <w:b/>
          <w:color w:val="991B1B"/>
        </w:rPr>
        <w:t xml:space="preserve">Attention : </w:t>
      </w:r>
      <w:r>
        <w:t>Il n'existe pas de commande en ligne pour entraîner le modèle simulé : il s'entraîne depuis l'interface. Sans cette étape, la page Predictions affichera « aucun modèle entraîné » et la Boucle clinique sera bloquée.</w:t>
      </w:r>
    </w:p>
    <w:p>
      <w:pPr>
        <w:spacing w:after="80"/>
      </w:pPr>
      <w:r>
        <w:rPr>
          <w:b/>
        </w:rPr>
        <w:t xml:space="preserve">Étape 1. </w:t>
      </w:r>
      <w:r>
        <w:t>Lancer l'application (étape 7) et ouvrir la page « Training ».</w:t>
      </w:r>
    </w:p>
    <w:p>
      <w:pPr>
        <w:spacing w:after="80"/>
      </w:pPr>
      <w:r>
        <w:rPr>
          <w:b/>
        </w:rPr>
        <w:t xml:space="preserve">Étape 2. </w:t>
      </w:r>
      <w:r>
        <w:t>Vérifier que la source « Données simulées » est sélectionnée dans la barre latérale.</w:t>
      </w:r>
    </w:p>
    <w:p>
      <w:pPr>
        <w:spacing w:after="80"/>
      </w:pPr>
      <w:r>
        <w:rPr>
          <w:b/>
        </w:rPr>
        <w:t xml:space="preserve">Étape 3. </w:t>
      </w:r>
      <w:r>
        <w:t>Ouvrir l'onglet « Modèle final », puis lancer l'entraînement. Le fichier data/models/lstm_v1.pt est écrit à la fin.</w:t>
      </w:r>
    </w:p>
    <w:p>
      <w:r>
        <w:t>L'onglet « Validation croisée » sert à mesurer la performance (GroupKFold patient-wise) ; il n'enregistre pas de modèle.</w:t>
      </w:r>
    </w:p>
    <w:p>
      <w:pPr>
        <w:pStyle w:val="Heading2"/>
      </w:pPr>
      <w:r>
        <w:rPr>
          <w:color w:val="1E3A8A"/>
        </w:rPr>
        <w:t>Étape 7 — Lancer l'application</w:t>
      </w:r>
    </w:p>
    <w:p>
      <w:pPr>
        <w:spacing w:after="40"/>
        <w:ind w:left="283"/>
      </w:pPr>
      <w:r>
        <w:rPr>
          <w:rFonts w:ascii="Consolas" w:hAnsi="Consolas"/>
          <w:color w:val="333333"/>
          <w:sz w:val="20"/>
        </w:rPr>
        <w:t>streamlit run src/app/main.py</w:t>
      </w:r>
    </w:p>
    <w:p>
      <w:r>
        <w:t>Le navigateur s'ouvre sur http://localhost:8501. Pour choisir un autre port ou lancer sans ouvrir de navigateur :</w:t>
      </w:r>
    </w:p>
    <w:p>
      <w:pPr>
        <w:spacing w:after="40"/>
        <w:ind w:left="283"/>
      </w:pPr>
      <w:r>
        <w:rPr>
          <w:rFonts w:ascii="Consolas" w:hAnsi="Consolas"/>
          <w:color w:val="333333"/>
          <w:sz w:val="20"/>
        </w:rPr>
        <w:t>streamlit run src/app/main.py --server.port 8600 --server.headless true</w:t>
      </w:r>
    </w:p>
    <w:p>
      <w:pPr>
        <w:spacing w:before="80" w:after="160"/>
      </w:pPr>
      <w:r>
        <w:rPr>
          <w:b/>
          <w:color w:val="B45309"/>
        </w:rPr>
        <w:t xml:space="preserve">Note : </w:t>
      </w:r>
      <w:r>
        <w:t>Si la commande « streamlit » est introuvable alors que l'installation a réussi, utiliser python -m streamlit run src/app/main.py — cela contourne un PATH mal configuré.</w:t>
      </w:r>
    </w:p>
    <w:p>
      <w:r>
        <w:br w:type="page"/>
      </w:r>
    </w:p>
    <w:p>
      <w:pPr>
        <w:pStyle w:val="Heading1"/>
      </w:pPr>
      <w:r>
        <w:rPr>
          <w:color w:val="1E3A8A"/>
        </w:rPr>
        <w:t>4. Étape 8 (optionnelle) — Cohorte réelle TDBRAIN</w:t>
      </w:r>
    </w:p>
    <w:p>
      <w:r>
        <w:t>L'application fonctionne pleinement avec la seule cohorte simulée. Cette étape ajoute la cohorte réelle TDBRAIN : 132 patients dépressifs traités par rTMS, avec EEG 26 canaux et dérivation ECG.</w:t>
      </w:r>
    </w:p>
    <w:p>
      <w:pPr>
        <w:spacing w:before="80" w:after="160"/>
      </w:pPr>
      <w:r>
        <w:rPr>
          <w:b/>
          <w:color w:val="991B1B"/>
        </w:rPr>
        <w:t xml:space="preserve">Attention : </w:t>
      </w:r>
      <w:r>
        <w:t>Les données TDBRAIN sont soumises à un accord d'utilisation (Data Use Agreement). Elles ne doivent jamais être ajoutées au dépôt Git, ni redistribuées. Le fichier .gitignore les exclut déjà.</w:t>
      </w:r>
    </w:p>
    <w:p>
      <w:pPr>
        <w:pStyle w:val="Heading2"/>
      </w:pPr>
      <w:r>
        <w:rPr>
          <w:color w:val="1E3A8A"/>
        </w:rPr>
        <w:t>8.1 Obtenir les données</w:t>
      </w:r>
    </w:p>
    <w:p>
      <w:pPr>
        <w:spacing w:after="80"/>
      </w:pPr>
      <w:r>
        <w:rPr>
          <w:b/>
        </w:rPr>
        <w:t xml:space="preserve">Étape 1. </w:t>
      </w:r>
      <w:r>
        <w:t>Se rendre sur https://brainclinics.com/resources/ et ouvrir le jeu de données TDBRAIN.</w:t>
      </w:r>
    </w:p>
    <w:p>
      <w:pPr>
        <w:spacing w:after="80"/>
      </w:pPr>
      <w:r>
        <w:rPr>
          <w:b/>
        </w:rPr>
        <w:t xml:space="preserve">Étape 2. </w:t>
      </w:r>
      <w:r>
        <w:t>Créer un compte (ORCID) et accepter l'accord d'utilisation.</w:t>
      </w:r>
    </w:p>
    <w:p>
      <w:pPr>
        <w:spacing w:after="80"/>
      </w:pPr>
      <w:r>
        <w:rPr>
          <w:b/>
        </w:rPr>
        <w:t xml:space="preserve">Étape 3. </w:t>
      </w:r>
      <w:r>
        <w:t>Télécharger « TDBRAIN Dataset V3.1 » (archive chiffrée, ≈ 14,5 Go), puis la décompresser.</w:t>
      </w:r>
    </w:p>
    <w:p>
      <w:pPr>
        <w:spacing w:before="80" w:after="160"/>
      </w:pPr>
      <w:r>
        <w:rPr>
          <w:b/>
          <w:color w:val="B45309"/>
        </w:rPr>
        <w:t xml:space="preserve">Note : </w:t>
      </w:r>
      <w:r>
        <w:t>Les paquets publics « Treatment / Diagnostic Prediction » sont anonymisés quant aux étiquettes de réponse : seules les données complètes V3.1 contiennent les vraies étiquettes répondeur / non-répondeur.</w:t>
      </w:r>
    </w:p>
    <w:p>
      <w:pPr>
        <w:pStyle w:val="Heading2"/>
      </w:pPr>
      <w:r>
        <w:rPr>
          <w:color w:val="1E3A8A"/>
        </w:rPr>
        <w:t>8.2 Placer les données</w:t>
      </w:r>
    </w:p>
    <w:p>
      <w:r>
        <w:t>Placer le dossier décompressé sous data/tdbrain/. Le dossier attendu est celui qui contient participants.tsv et les dossiers sub-XXXXXXXX/ :</w:t>
      </w:r>
    </w:p>
    <w:p>
      <w:pPr>
        <w:spacing w:after="40"/>
        <w:ind w:left="283"/>
      </w:pPr>
      <w:r>
        <w:rPr>
          <w:rFonts w:ascii="Consolas" w:hAnsi="Consolas"/>
          <w:color w:val="333333"/>
          <w:sz w:val="20"/>
        </w:rPr>
        <w:t>data/tdbrain/TDBRAIN_Dataset_V3_1_Encr/TDBRAIN_Dataset_V3_1/</w:t>
      </w:r>
    </w:p>
    <w:p>
      <w:pPr>
        <w:spacing w:after="40"/>
        <w:ind w:left="283"/>
      </w:pPr>
      <w:r>
        <w:rPr>
          <w:rFonts w:ascii="Consolas" w:hAnsi="Consolas"/>
          <w:color w:val="333333"/>
          <w:sz w:val="20"/>
        </w:rPr>
        <w:t xml:space="preserve">    participants.tsv</w:t>
      </w:r>
    </w:p>
    <w:p>
      <w:pPr>
        <w:spacing w:after="40"/>
        <w:ind w:left="283"/>
      </w:pPr>
      <w:r>
        <w:rPr>
          <w:rFonts w:ascii="Consolas" w:hAnsi="Consolas"/>
          <w:color w:val="333333"/>
          <w:sz w:val="20"/>
        </w:rPr>
        <w:t xml:space="preserve">    dataset_description.json</w:t>
      </w:r>
    </w:p>
    <w:p>
      <w:pPr>
        <w:spacing w:after="40"/>
        <w:ind w:left="283"/>
      </w:pPr>
      <w:r>
        <w:rPr>
          <w:rFonts w:ascii="Consolas" w:hAnsi="Consolas"/>
          <w:color w:val="333333"/>
          <w:sz w:val="20"/>
        </w:rPr>
        <w:t xml:space="preserve">    sub-87999321/ses-1/eeg/sub-87999321_ses-1_task-restEO_eeg.bdf</w:t>
      </w:r>
    </w:p>
    <w:p>
      <w:pPr>
        <w:spacing w:after="40"/>
        <w:ind w:left="283"/>
      </w:pPr>
      <w:r>
        <w:rPr>
          <w:rFonts w:ascii="Consolas" w:hAnsi="Consolas"/>
          <w:color w:val="333333"/>
          <w:sz w:val="20"/>
        </w:rPr>
        <w:t xml:space="preserve">    ...</w:t>
      </w:r>
    </w:p>
    <w:p>
      <w:pPr>
        <w:pStyle w:val="Heading2"/>
      </w:pPr>
      <w:r>
        <w:rPr>
          <w:color w:val="1E3A8A"/>
        </w:rPr>
        <w:t>8.3 Charger et entraîner en une passe</w:t>
      </w:r>
    </w:p>
    <w:p>
      <w:r>
        <w:t>La commande suivante lit un fichier BDF par patient, insère la cohorte en base, évalue les variantes (EEG seul / EEG + ECG, avec et sans normalisation) et enregistre le meilleur modèle avec son contrat de features. Comptez plusieurs minutes : la lecture des BDF est le poste le plus long.</w:t>
      </w:r>
    </w:p>
    <w:p>
      <w:pPr>
        <w:spacing w:after="40"/>
        <w:ind w:left="283"/>
      </w:pPr>
      <w:r>
        <w:rPr>
          <w:rFonts w:ascii="Consolas" w:hAnsi="Consolas"/>
          <w:color w:val="333333"/>
          <w:sz w:val="20"/>
        </w:rPr>
        <w:t>python -m src.models.train_tdbrain `</w:t>
      </w:r>
    </w:p>
    <w:p>
      <w:pPr>
        <w:spacing w:after="40"/>
        <w:ind w:left="283"/>
      </w:pPr>
      <w:r>
        <w:rPr>
          <w:rFonts w:ascii="Consolas" w:hAnsi="Consolas"/>
          <w:color w:val="333333"/>
          <w:sz w:val="20"/>
        </w:rPr>
        <w:t xml:space="preserve">    --root "data/tdbrain/TDBRAIN_Dataset_V3_1_Encr/TDBRAIN_Dataset_V3_1" `</w:t>
      </w:r>
    </w:p>
    <w:p>
      <w:pPr>
        <w:spacing w:after="40"/>
        <w:ind w:left="283"/>
      </w:pPr>
      <w:r>
        <w:rPr>
          <w:rFonts w:ascii="Consolas" w:hAnsi="Consolas"/>
          <w:color w:val="333333"/>
          <w:sz w:val="20"/>
        </w:rPr>
        <w:t xml:space="preserve">    --seed-db recherche_tdbrain.sqlite3</w:t>
      </w:r>
    </w:p>
    <w:p>
      <w:r>
        <w:t>Options utiles :</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Option</w:t>
            </w:r>
          </w:p>
        </w:tc>
        <w:tc>
          <w:tcPr>
            <w:tcW w:type="dxa" w:w="4320"/>
          </w:tcPr>
          <w:p>
            <w:r/>
            <w:r>
              <w:rPr>
                <w:b/>
                <w:sz w:val="18"/>
              </w:rPr>
              <w:t>Effet</w:t>
            </w:r>
          </w:p>
        </w:tc>
      </w:tr>
      <w:tr>
        <w:tc>
          <w:tcPr>
            <w:tcW w:type="dxa" w:w="4320"/>
          </w:tcPr>
          <w:p>
            <w:r/>
            <w:r>
              <w:rPr>
                <w:sz w:val="18"/>
              </w:rPr>
              <w:t>--modalities eeg</w:t>
            </w:r>
          </w:p>
        </w:tc>
        <w:tc>
          <w:tcPr>
            <w:tcW w:type="dxa" w:w="4320"/>
          </w:tcPr>
          <w:p>
            <w:r/>
            <w:r>
              <w:rPr>
                <w:sz w:val="18"/>
              </w:rPr>
              <w:t>N'utiliser que l'EEG (130 features)</w:t>
            </w:r>
          </w:p>
        </w:tc>
      </w:tr>
      <w:tr>
        <w:tc>
          <w:tcPr>
            <w:tcW w:type="dxa" w:w="4320"/>
          </w:tcPr>
          <w:p>
            <w:r/>
            <w:r>
              <w:rPr>
                <w:sz w:val="18"/>
              </w:rPr>
              <w:t>--modalities eeg+ecg</w:t>
            </w:r>
          </w:p>
        </w:tc>
        <w:tc>
          <w:tcPr>
            <w:tcW w:type="dxa" w:w="4320"/>
          </w:tcPr>
          <w:p>
            <w:r/>
            <w:r>
              <w:rPr>
                <w:sz w:val="18"/>
              </w:rPr>
              <w:t>Forcer EEG + HRV (135 features)</w:t>
            </w:r>
          </w:p>
        </w:tc>
      </w:tr>
      <w:tr>
        <w:tc>
          <w:tcPr>
            <w:tcW w:type="dxa" w:w="4320"/>
          </w:tcPr>
          <w:p>
            <w:r/>
            <w:r>
              <w:rPr>
                <w:sz w:val="18"/>
              </w:rPr>
              <w:t>--no-ecg</w:t>
            </w:r>
          </w:p>
        </w:tc>
        <w:tc>
          <w:tcPr>
            <w:tcW w:type="dxa" w:w="4320"/>
          </w:tcPr>
          <w:p>
            <w:r/>
            <w:r>
              <w:rPr>
                <w:sz w:val="18"/>
              </w:rPr>
              <w:t>Ne pas lire la dérivation ECG (chargement plus rapide)</w:t>
            </w:r>
          </w:p>
        </w:tc>
      </w:tr>
      <w:tr>
        <w:tc>
          <w:tcPr>
            <w:tcW w:type="dxa" w:w="4320"/>
          </w:tcPr>
          <w:p>
            <w:r/>
            <w:r>
              <w:rPr>
                <w:sz w:val="18"/>
              </w:rPr>
              <w:t>--zscore on|off|auto</w:t>
            </w:r>
          </w:p>
        </w:tc>
        <w:tc>
          <w:tcPr>
            <w:tcW w:type="dxa" w:w="4320"/>
          </w:tcPr>
          <w:p>
            <w:r/>
            <w:r>
              <w:rPr>
                <w:sz w:val="18"/>
              </w:rPr>
              <w:t>Normalisation z-score intra-patient</w:t>
            </w:r>
          </w:p>
        </w:tc>
      </w:tr>
      <w:tr>
        <w:tc>
          <w:tcPr>
            <w:tcW w:type="dxa" w:w="4320"/>
          </w:tcPr>
          <w:p>
            <w:r/>
            <w:r>
              <w:rPr>
                <w:sz w:val="18"/>
              </w:rPr>
              <w:t>--n-splits 5</w:t>
            </w:r>
          </w:p>
        </w:tc>
        <w:tc>
          <w:tcPr>
            <w:tcW w:type="dxa" w:w="4320"/>
          </w:tcPr>
          <w:p>
            <w:r/>
            <w:r>
              <w:rPr>
                <w:sz w:val="18"/>
              </w:rPr>
              <w:t>Nombre de plis de validation croisée</w:t>
            </w:r>
          </w:p>
        </w:tc>
      </w:tr>
    </w:tbl>
    <w:p/>
    <w:p>
      <w:pPr>
        <w:spacing w:before="80" w:after="160"/>
      </w:pPr>
      <w:r>
        <w:rPr>
          <w:b/>
          <w:color w:val="B45309"/>
        </w:rPr>
        <w:t xml:space="preserve">Note : </w:t>
      </w:r>
      <w:r>
        <w:t>Chaque modèle TDBRAIN est enregistré avec un fichier compagnon JSON (le « contrat de features ») décrivant canaux, fréquence, époques et modalités. L'application refuse de prédire si les données en base ne correspondent pas à ce contrat — ne pas supprimer ce fichier.</w:t>
      </w:r>
    </w:p>
    <w:p>
      <w:r>
        <w:t>Les trois cohortes utilisent des bases SQLite distinctes (recherche.sqlite3, recherche_sim_matched.sqlite3 et recherche_tdbrain.sqlite3) et des modèles distincts : patients simulés et réels ne se mélangent jamais.</w:t>
      </w:r>
    </w:p>
    <w:p>
      <w:r>
        <w:t>Pour entraîner les quatre modèles de la comparaison en une commande (deux cohortes × deux jeux de variables) :</w:t>
      </w:r>
    </w:p>
    <w:p>
      <w:pPr>
        <w:spacing w:after="40"/>
        <w:ind w:left="283"/>
      </w:pPr>
      <w:r>
        <w:rPr>
          <w:rFonts w:ascii="Consolas" w:hAnsi="Consolas"/>
          <w:color w:val="333333"/>
          <w:sz w:val="20"/>
        </w:rPr>
        <w:t>python -m src.models.train_all `</w:t>
      </w:r>
    </w:p>
    <w:p>
      <w:pPr>
        <w:spacing w:after="40"/>
        <w:ind w:left="283"/>
      </w:pPr>
      <w:r>
        <w:rPr>
          <w:rFonts w:ascii="Consolas" w:hAnsi="Consolas"/>
          <w:color w:val="333333"/>
          <w:sz w:val="20"/>
        </w:rPr>
        <w:t xml:space="preserve">    --root "data/tdbrain/TDBRAIN_Dataset_V3_1_Encr/TDBRAIN_Dataset_V3_1"</w:t>
      </w:r>
    </w:p>
    <w:p>
      <w:pPr>
        <w:spacing w:after="40"/>
        <w:ind w:left="283"/>
      </w:pPr>
      <w:r>
        <w:rPr>
          <w:rFonts w:ascii="Consolas" w:hAnsi="Consolas"/>
          <w:color w:val="333333"/>
          <w:sz w:val="20"/>
        </w:rPr>
      </w:r>
    </w:p>
    <w:p>
      <w:pPr>
        <w:spacing w:after="40"/>
        <w:ind w:left="283"/>
      </w:pPr>
      <w:r>
        <w:rPr>
          <w:rFonts w:ascii="Consolas" w:hAnsi="Consolas"/>
          <w:color w:val="333333"/>
          <w:sz w:val="20"/>
        </w:rPr>
        <w:t>python -m src.models.train_all --sim-only   # sans la cohorte réelle</w:t>
      </w:r>
    </w:p>
    <w:p>
      <w:pPr>
        <w:pStyle w:val="Heading1"/>
      </w:pPr>
      <w:r>
        <w:rPr>
          <w:color w:val="1E3A8A"/>
        </w:rPr>
        <w:t>5. Étape 9 (optionnelle) — Régénérer la documentation</w:t>
      </w:r>
    </w:p>
    <w:p>
      <w:r>
        <w:t>Les deux guides (installation et utilisation) sont générés par script. Les captures d'écran du guide d'utilisation sont prises automatiquement sur l'application en fonctionnement.</w:t>
      </w:r>
    </w:p>
    <w:p>
      <w:pPr>
        <w:spacing w:after="80"/>
      </w:pPr>
      <w:r>
        <w:rPr>
          <w:b/>
        </w:rPr>
        <w:t xml:space="preserve">Étape 1. </w:t>
      </w:r>
      <w:r>
        <w:t>Installer le navigateur utilisé par Playwright (une seule fois) :</w:t>
      </w:r>
    </w:p>
    <w:p>
      <w:pPr>
        <w:spacing w:after="40"/>
        <w:ind w:left="283"/>
      </w:pPr>
      <w:r>
        <w:rPr>
          <w:rFonts w:ascii="Consolas" w:hAnsi="Consolas"/>
          <w:color w:val="333333"/>
          <w:sz w:val="20"/>
        </w:rPr>
        <w:t>python -m playwright install chromium</w:t>
      </w:r>
    </w:p>
    <w:p>
      <w:pPr>
        <w:spacing w:after="80"/>
      </w:pPr>
      <w:r>
        <w:rPr>
          <w:b/>
        </w:rPr>
        <w:t xml:space="preserve">Étape 2. </w:t>
      </w:r>
      <w:r>
        <w:t>Lancer l'application sur le port 8765 (celui qu'attend le script) :</w:t>
      </w:r>
    </w:p>
    <w:p>
      <w:pPr>
        <w:spacing w:after="40"/>
        <w:ind w:left="283"/>
      </w:pPr>
      <w:r>
        <w:rPr>
          <w:rFonts w:ascii="Consolas" w:hAnsi="Consolas"/>
          <w:color w:val="333333"/>
          <w:sz w:val="20"/>
        </w:rPr>
        <w:t>streamlit run src/app/main.py --server.headless true --server.port 8765</w:t>
      </w:r>
    </w:p>
    <w:p>
      <w:pPr>
        <w:spacing w:after="80"/>
      </w:pPr>
      <w:r>
        <w:rPr>
          <w:b/>
        </w:rPr>
        <w:t xml:space="preserve">Étape 3. </w:t>
      </w:r>
      <w:r>
        <w:t>Dans une seconde console, capturer les écrans puis régénérer les documents :</w:t>
      </w:r>
    </w:p>
    <w:p>
      <w:pPr>
        <w:spacing w:after="40"/>
        <w:ind w:left="283"/>
      </w:pPr>
      <w:r>
        <w:rPr>
          <w:rFonts w:ascii="Consolas" w:hAnsi="Consolas"/>
          <w:color w:val="333333"/>
          <w:sz w:val="20"/>
        </w:rPr>
        <w:t>python -m src.reporting.capture_screens</w:t>
      </w:r>
    </w:p>
    <w:p>
      <w:pPr>
        <w:spacing w:after="40"/>
        <w:ind w:left="283"/>
      </w:pPr>
      <w:r>
        <w:rPr>
          <w:rFonts w:ascii="Consolas" w:hAnsi="Consolas"/>
          <w:color w:val="333333"/>
          <w:sz w:val="20"/>
        </w:rPr>
        <w:t>python -m src.reporting.user_guide</w:t>
      </w:r>
    </w:p>
    <w:p>
      <w:pPr>
        <w:spacing w:after="40"/>
        <w:ind w:left="283"/>
      </w:pPr>
      <w:r>
        <w:rPr>
          <w:rFonts w:ascii="Consolas" w:hAnsi="Consolas"/>
          <w:color w:val="333333"/>
          <w:sz w:val="20"/>
        </w:rPr>
        <w:t>python -m src.reporting.install_guide</w:t>
      </w:r>
    </w:p>
    <w:p>
      <w:pPr>
        <w:spacing w:before="80" w:after="160"/>
      </w:pPr>
      <w:r>
        <w:rPr>
          <w:b/>
          <w:color w:val="B45309"/>
        </w:rPr>
        <w:t xml:space="preserve">Note : </w:t>
      </w:r>
      <w:r>
        <w:t>Les captures sont prises pour les deux cohortes. Si la cohorte réelle n'est pas installée, les captures TDBRAIN manqueront et le guide affichera un repère « capture manquante » à leur emplacement.</w:t>
      </w:r>
    </w:p>
    <w:p>
      <w:r>
        <w:br w:type="page"/>
      </w:r>
    </w:p>
    <w:p>
      <w:pPr>
        <w:pStyle w:val="Heading1"/>
      </w:pPr>
      <w:r>
        <w:rPr>
          <w:color w:val="1E3A8A"/>
        </w:rPr>
        <w:t>6. Ce qui est versionné, ce qui est régénéré</w:t>
      </w:r>
    </w:p>
    <w:p>
      <w:r>
        <w:t>Sur une machine neuve, plusieurs fichiers sont absents volontairement. Les recréer fait partie de l'installation ; ce n'est pas une anomalie.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Élément</w:t>
            </w:r>
          </w:p>
        </w:tc>
        <w:tc>
          <w:tcPr>
            <w:tcW w:type="dxa" w:w="2880"/>
          </w:tcPr>
          <w:p>
            <w:r/>
            <w:r>
              <w:rPr>
                <w:b/>
                <w:sz w:val="18"/>
              </w:rPr>
              <w:t>Versionné ?</w:t>
            </w:r>
          </w:p>
        </w:tc>
        <w:tc>
          <w:tcPr>
            <w:tcW w:type="dxa" w:w="2880"/>
          </w:tcPr>
          <w:p>
            <w:r/>
            <w:r>
              <w:rPr>
                <w:b/>
                <w:sz w:val="18"/>
              </w:rPr>
              <w:t>Comment l'obtenir</w:t>
            </w:r>
          </w:p>
        </w:tc>
      </w:tr>
      <w:tr>
        <w:tc>
          <w:tcPr>
            <w:tcW w:type="dxa" w:w="2880"/>
          </w:tcPr>
          <w:p>
            <w:r/>
            <w:r>
              <w:rPr>
                <w:sz w:val="18"/>
              </w:rPr>
              <w:t>Code source, tests, notebooks</w:t>
            </w:r>
          </w:p>
        </w:tc>
        <w:tc>
          <w:tcPr>
            <w:tcW w:type="dxa" w:w="2880"/>
          </w:tcPr>
          <w:p>
            <w:r/>
            <w:r>
              <w:rPr>
                <w:sz w:val="18"/>
              </w:rPr>
              <w:t>Oui</w:t>
            </w:r>
          </w:p>
        </w:tc>
        <w:tc>
          <w:tcPr>
            <w:tcW w:type="dxa" w:w="2880"/>
          </w:tcPr>
          <w:p>
            <w:r/>
            <w:r>
              <w:rPr>
                <w:sz w:val="18"/>
              </w:rPr>
              <w:t>Fourni avec le projet</w:t>
            </w:r>
          </w:p>
        </w:tc>
      </w:tr>
      <w:tr>
        <w:tc>
          <w:tcPr>
            <w:tcW w:type="dxa" w:w="2880"/>
          </w:tcPr>
          <w:p>
            <w:r/>
            <w:r>
              <w:rPr>
                <w:sz w:val="18"/>
              </w:rPr>
              <w:t>data/simulated/*.npz, *.csv</w:t>
            </w:r>
          </w:p>
        </w:tc>
        <w:tc>
          <w:tcPr>
            <w:tcW w:type="dxa" w:w="2880"/>
          </w:tcPr>
          <w:p>
            <w:r/>
            <w:r>
              <w:rPr>
                <w:sz w:val="18"/>
              </w:rPr>
              <w:t>Non</w:t>
            </w:r>
          </w:p>
        </w:tc>
        <w:tc>
          <w:tcPr>
            <w:tcW w:type="dxa" w:w="2880"/>
          </w:tcPr>
          <w:p>
            <w:r/>
            <w:r>
              <w:rPr>
                <w:sz w:val="18"/>
              </w:rPr>
              <w:t>python -m src.data.simulator</w:t>
            </w:r>
          </w:p>
        </w:tc>
      </w:tr>
      <w:tr>
        <w:tc>
          <w:tcPr>
            <w:tcW w:type="dxa" w:w="2880"/>
          </w:tcPr>
          <w:p>
            <w:r/>
            <w:r>
              <w:rPr>
                <w:sz w:val="18"/>
              </w:rPr>
              <w:t>recherche.sqlite3</w:t>
            </w:r>
          </w:p>
        </w:tc>
        <w:tc>
          <w:tcPr>
            <w:tcW w:type="dxa" w:w="2880"/>
          </w:tcPr>
          <w:p>
            <w:r/>
            <w:r>
              <w:rPr>
                <w:sz w:val="18"/>
              </w:rPr>
              <w:t>Non</w:t>
            </w:r>
          </w:p>
        </w:tc>
        <w:tc>
          <w:tcPr>
            <w:tcW w:type="dxa" w:w="2880"/>
          </w:tcPr>
          <w:p>
            <w:r/>
            <w:r>
              <w:rPr>
                <w:sz w:val="18"/>
              </w:rPr>
              <w:t>Bouton d'accueil ou src.data.seeder</w:t>
            </w:r>
          </w:p>
        </w:tc>
      </w:tr>
      <w:tr>
        <w:tc>
          <w:tcPr>
            <w:tcW w:type="dxa" w:w="2880"/>
          </w:tcPr>
          <w:p>
            <w:r/>
            <w:r>
              <w:rPr>
                <w:sz w:val="18"/>
              </w:rPr>
              <w:t>recherche_sim_matched.sqlite3</w:t>
            </w:r>
          </w:p>
        </w:tc>
        <w:tc>
          <w:tcPr>
            <w:tcW w:type="dxa" w:w="2880"/>
          </w:tcPr>
          <w:p>
            <w:r/>
            <w:r>
              <w:rPr>
                <w:sz w:val="18"/>
              </w:rPr>
              <w:t>Non</w:t>
            </w:r>
          </w:p>
        </w:tc>
        <w:tc>
          <w:tcPr>
            <w:tcW w:type="dxa" w:w="2880"/>
          </w:tcPr>
          <w:p>
            <w:r/>
            <w:r>
              <w:rPr>
                <w:sz w:val="18"/>
              </w:rPr>
              <w:t>tdbrain_seeder --matched</w:t>
            </w:r>
          </w:p>
        </w:tc>
      </w:tr>
      <w:tr>
        <w:tc>
          <w:tcPr>
            <w:tcW w:type="dxa" w:w="2880"/>
          </w:tcPr>
          <w:p>
            <w:r/>
            <w:r>
              <w:rPr>
                <w:sz w:val="18"/>
              </w:rPr>
              <w:t>recherche_tdbrain.sqlite3</w:t>
            </w:r>
          </w:p>
        </w:tc>
        <w:tc>
          <w:tcPr>
            <w:tcW w:type="dxa" w:w="2880"/>
          </w:tcPr>
          <w:p>
            <w:r/>
            <w:r>
              <w:rPr>
                <w:sz w:val="18"/>
              </w:rPr>
              <w:t>Non</w:t>
            </w:r>
          </w:p>
        </w:tc>
        <w:tc>
          <w:tcPr>
            <w:tcW w:type="dxa" w:w="2880"/>
          </w:tcPr>
          <w:p>
            <w:r/>
            <w:r>
              <w:rPr>
                <w:sz w:val="18"/>
              </w:rPr>
              <w:t>train_tdbrain --seed-db</w:t>
            </w:r>
          </w:p>
        </w:tc>
      </w:tr>
      <w:tr>
        <w:tc>
          <w:tcPr>
            <w:tcW w:type="dxa" w:w="2880"/>
          </w:tcPr>
          <w:p>
            <w:r/>
            <w:r>
              <w:rPr>
                <w:sz w:val="18"/>
              </w:rPr>
              <w:t>data/models/lstm_v1.pt</w:t>
            </w:r>
          </w:p>
        </w:tc>
        <w:tc>
          <w:tcPr>
            <w:tcW w:type="dxa" w:w="2880"/>
          </w:tcPr>
          <w:p>
            <w:r/>
            <w:r>
              <w:rPr>
                <w:sz w:val="18"/>
              </w:rPr>
              <w:t>Non</w:t>
            </w:r>
          </w:p>
        </w:tc>
        <w:tc>
          <w:tcPr>
            <w:tcW w:type="dxa" w:w="2880"/>
          </w:tcPr>
          <w:p>
            <w:r/>
            <w:r>
              <w:rPr>
                <w:sz w:val="18"/>
              </w:rPr>
              <w:t>Page Training, onglet « Modèle final »</w:t>
            </w:r>
          </w:p>
        </w:tc>
      </w:tr>
      <w:tr>
        <w:tc>
          <w:tcPr>
            <w:tcW w:type="dxa" w:w="2880"/>
          </w:tcPr>
          <w:p>
            <w:r/>
            <w:r>
              <w:rPr>
                <w:sz w:val="18"/>
              </w:rPr>
              <w:t>data/models/sim_*.pt, tdbrain_*.pt (+ .json)</w:t>
            </w:r>
          </w:p>
        </w:tc>
        <w:tc>
          <w:tcPr>
            <w:tcW w:type="dxa" w:w="2880"/>
          </w:tcPr>
          <w:p>
            <w:r/>
            <w:r>
              <w:rPr>
                <w:sz w:val="18"/>
              </w:rPr>
              <w:t>Non</w:t>
            </w:r>
          </w:p>
        </w:tc>
        <w:tc>
          <w:tcPr>
            <w:tcW w:type="dxa" w:w="2880"/>
          </w:tcPr>
          <w:p>
            <w:r/>
            <w:r>
              <w:rPr>
                <w:sz w:val="18"/>
              </w:rPr>
              <w:t>train_all</w:t>
            </w:r>
          </w:p>
        </w:tc>
      </w:tr>
      <w:tr>
        <w:tc>
          <w:tcPr>
            <w:tcW w:type="dxa" w:w="2880"/>
          </w:tcPr>
          <w:p>
            <w:r/>
            <w:r>
              <w:rPr>
                <w:sz w:val="18"/>
              </w:rPr>
              <w:t>data/tdbrain/ (données réelles)</w:t>
            </w:r>
          </w:p>
        </w:tc>
        <w:tc>
          <w:tcPr>
            <w:tcW w:type="dxa" w:w="2880"/>
          </w:tcPr>
          <w:p>
            <w:r/>
            <w:r>
              <w:rPr>
                <w:sz w:val="18"/>
              </w:rPr>
              <w:t>Non — interdit</w:t>
            </w:r>
          </w:p>
        </w:tc>
        <w:tc>
          <w:tcPr>
            <w:tcW w:type="dxa" w:w="2880"/>
          </w:tcPr>
          <w:p>
            <w:r/>
            <w:r>
              <w:rPr>
                <w:sz w:val="18"/>
              </w:rPr>
              <w:t>Téléchargement sous accord</w:t>
            </w:r>
          </w:p>
        </w:tc>
      </w:tr>
      <w:tr>
        <w:tc>
          <w:tcPr>
            <w:tcW w:type="dxa" w:w="2880"/>
          </w:tcPr>
          <w:p>
            <w:r/>
            <w:r>
              <w:rPr>
                <w:sz w:val="18"/>
              </w:rPr>
              <w:t>docs/screenshots/*.png</w:t>
            </w:r>
          </w:p>
        </w:tc>
        <w:tc>
          <w:tcPr>
            <w:tcW w:type="dxa" w:w="2880"/>
          </w:tcPr>
          <w:p>
            <w:r/>
            <w:r>
              <w:rPr>
                <w:sz w:val="18"/>
              </w:rPr>
              <w:t>Non</w:t>
            </w:r>
          </w:p>
        </w:tc>
        <w:tc>
          <w:tcPr>
            <w:tcW w:type="dxa" w:w="2880"/>
          </w:tcPr>
          <w:p>
            <w:r/>
            <w:r>
              <w:rPr>
                <w:sz w:val="18"/>
              </w:rPr>
              <w:t>python -m src.reporting.capture_screens</w:t>
            </w:r>
          </w:p>
        </w:tc>
      </w:tr>
    </w:tbl>
    <w:p/>
    <w:p>
      <w:pPr>
        <w:pStyle w:val="Heading1"/>
      </w:pPr>
      <w:r>
        <w:rPr>
          <w:color w:val="1E3A8A"/>
        </w:rPr>
        <w:t>7. Dépannage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Symptôme</w:t>
            </w:r>
          </w:p>
        </w:tc>
        <w:tc>
          <w:tcPr>
            <w:tcW w:type="dxa" w:w="2880"/>
          </w:tcPr>
          <w:p>
            <w:r/>
            <w:r>
              <w:rPr>
                <w:b/>
                <w:sz w:val="18"/>
              </w:rPr>
              <w:t>Cause probable</w:t>
            </w:r>
          </w:p>
        </w:tc>
        <w:tc>
          <w:tcPr>
            <w:tcW w:type="dxa" w:w="2880"/>
          </w:tcPr>
          <w:p>
            <w:r/>
            <w:r>
              <w:rPr>
                <w:b/>
                <w:sz w:val="18"/>
              </w:rPr>
              <w:t>Solution</w:t>
            </w:r>
          </w:p>
        </w:tc>
      </w:tr>
      <w:tr>
        <w:tc>
          <w:tcPr>
            <w:tcW w:type="dxa" w:w="2880"/>
          </w:tcPr>
          <w:p>
            <w:r/>
            <w:r>
              <w:rPr>
                <w:sz w:val="18"/>
              </w:rPr>
              <w:t>« streamlit » : commande introuvable</w:t>
            </w:r>
          </w:p>
        </w:tc>
        <w:tc>
          <w:tcPr>
            <w:tcW w:type="dxa" w:w="2880"/>
          </w:tcPr>
          <w:p>
            <w:r/>
            <w:r>
              <w:rPr>
                <w:sz w:val="18"/>
              </w:rPr>
              <w:t>L'environnement virtuel n'est pas activé, ou PATH incomplet</w:t>
            </w:r>
          </w:p>
        </w:tc>
        <w:tc>
          <w:tcPr>
            <w:tcW w:type="dxa" w:w="2880"/>
          </w:tcPr>
          <w:p>
            <w:r/>
            <w:r>
              <w:rPr>
                <w:sz w:val="18"/>
              </w:rPr>
              <w:t>Activer .venv, ou lancer python -m streamlit run src/app/main.py</w:t>
            </w:r>
          </w:p>
        </w:tc>
      </w:tr>
      <w:tr>
        <w:tc>
          <w:tcPr>
            <w:tcW w:type="dxa" w:w="2880"/>
          </w:tcPr>
          <w:p>
            <w:r/>
            <w:r>
              <w:rPr>
                <w:sz w:val="18"/>
              </w:rPr>
              <w:t>ModuleNotFoundError: torch</w:t>
            </w:r>
          </w:p>
        </w:tc>
        <w:tc>
          <w:tcPr>
            <w:tcW w:type="dxa" w:w="2880"/>
          </w:tcPr>
          <w:p>
            <w:r/>
            <w:r>
              <w:rPr>
                <w:sz w:val="18"/>
              </w:rPr>
              <w:t>PyTorch non installé pour la plateforme</w:t>
            </w:r>
          </w:p>
        </w:tc>
        <w:tc>
          <w:tcPr>
            <w:tcW w:type="dxa" w:w="2880"/>
          </w:tcPr>
          <w:p>
            <w:r/>
            <w:r>
              <w:rPr>
                <w:sz w:val="18"/>
              </w:rPr>
              <w:t>pip install torch --index-url https://download.pytorch.org/whl/cpu</w:t>
            </w:r>
          </w:p>
        </w:tc>
      </w:tr>
      <w:tr>
        <w:tc>
          <w:tcPr>
            <w:tcW w:type="dxa" w:w="2880"/>
          </w:tcPr>
          <w:p>
            <w:r/>
            <w:r>
              <w:rPr>
                <w:sz w:val="18"/>
              </w:rPr>
              <w:t>ModuleNotFoundError: docx / playwright</w:t>
            </w:r>
          </w:p>
        </w:tc>
        <w:tc>
          <w:tcPr>
            <w:tcW w:type="dxa" w:w="2880"/>
          </w:tcPr>
          <w:p>
            <w:r/>
            <w:r>
              <w:rPr>
                <w:sz w:val="18"/>
              </w:rPr>
              <w:t>Dépendances de documentation absentes</w:t>
            </w:r>
          </w:p>
        </w:tc>
        <w:tc>
          <w:tcPr>
            <w:tcW w:type="dxa" w:w="2880"/>
          </w:tcPr>
          <w:p>
            <w:r/>
            <w:r>
              <w:rPr>
                <w:sz w:val="18"/>
              </w:rPr>
              <w:t>pip install -r requirements.txt (elles y figurent)</w:t>
            </w:r>
          </w:p>
        </w:tc>
      </w:tr>
      <w:tr>
        <w:tc>
          <w:tcPr>
            <w:tcW w:type="dxa" w:w="2880"/>
          </w:tcPr>
          <w:p>
            <w:r/>
            <w:r>
              <w:rPr>
                <w:sz w:val="18"/>
              </w:rPr>
              <w:t>« Aucun patient en base »</w:t>
            </w:r>
          </w:p>
        </w:tc>
        <w:tc>
          <w:tcPr>
            <w:tcW w:type="dxa" w:w="2880"/>
          </w:tcPr>
          <w:p>
            <w:r/>
            <w:r>
              <w:rPr>
                <w:sz w:val="18"/>
              </w:rPr>
              <w:t>La base n'a pas été initialisée</w:t>
            </w:r>
          </w:p>
        </w:tc>
        <w:tc>
          <w:tcPr>
            <w:tcW w:type="dxa" w:w="2880"/>
          </w:tcPr>
          <w:p>
            <w:r/>
            <w:r>
              <w:rPr>
                <w:sz w:val="18"/>
              </w:rPr>
              <w:t>Étape 5 (bouton d'accueil ou src.data.seeder)</w:t>
            </w:r>
          </w:p>
        </w:tc>
      </w:tr>
      <w:tr>
        <w:tc>
          <w:tcPr>
            <w:tcW w:type="dxa" w:w="2880"/>
          </w:tcPr>
          <w:p>
            <w:r/>
            <w:r>
              <w:rPr>
                <w:sz w:val="18"/>
              </w:rPr>
              <w:t>« Aucun modèle entraîné »</w:t>
            </w:r>
          </w:p>
        </w:tc>
        <w:tc>
          <w:tcPr>
            <w:tcW w:type="dxa" w:w="2880"/>
          </w:tcPr>
          <w:p>
            <w:r/>
            <w:r>
              <w:rPr>
                <w:sz w:val="18"/>
              </w:rPr>
              <w:t>Le modèle n'a jamais été entraîné sur cette source</w:t>
            </w:r>
          </w:p>
        </w:tc>
        <w:tc>
          <w:tcPr>
            <w:tcW w:type="dxa" w:w="2880"/>
          </w:tcPr>
          <w:p>
            <w:r/>
            <w:r>
              <w:rPr>
                <w:sz w:val="18"/>
              </w:rPr>
              <w:t>Étape 6 : page Training, onglet « Modèle final »</w:t>
            </w:r>
          </w:p>
        </w:tc>
      </w:tr>
      <w:tr>
        <w:tc>
          <w:tcPr>
            <w:tcW w:type="dxa" w:w="2880"/>
          </w:tcPr>
          <w:p>
            <w:r/>
            <w:r>
              <w:rPr>
                <w:sz w:val="18"/>
              </w:rPr>
              <w:t>participants.tsv introuvable</w:t>
            </w:r>
          </w:p>
        </w:tc>
        <w:tc>
          <w:tcPr>
            <w:tcW w:type="dxa" w:w="2880"/>
          </w:tcPr>
          <w:p>
            <w:r/>
            <w:r>
              <w:rPr>
                <w:sz w:val="18"/>
              </w:rPr>
              <w:t>--root ne pointe pas sur le bon dossier TDBRAIN</w:t>
            </w:r>
          </w:p>
        </w:tc>
        <w:tc>
          <w:tcPr>
            <w:tcW w:type="dxa" w:w="2880"/>
          </w:tcPr>
          <w:p>
            <w:r/>
            <w:r>
              <w:rPr>
                <w:sz w:val="18"/>
              </w:rPr>
              <w:t>Indiquer le dossier contenant participants.tsv (voir 8.2)</w:t>
            </w:r>
          </w:p>
        </w:tc>
      </w:tr>
      <w:tr>
        <w:tc>
          <w:tcPr>
            <w:tcW w:type="dxa" w:w="2880"/>
          </w:tcPr>
          <w:p>
            <w:r/>
            <w:r>
              <w:rPr>
                <w:sz w:val="18"/>
              </w:rPr>
              <w:t>« les données en base ne correspondent pas au modèle »</w:t>
            </w:r>
          </w:p>
        </w:tc>
        <w:tc>
          <w:tcPr>
            <w:tcW w:type="dxa" w:w="2880"/>
          </w:tcPr>
          <w:p>
            <w:r/>
            <w:r>
              <w:rPr>
                <w:sz w:val="18"/>
              </w:rPr>
              <w:t>Base et modèle TDBRAIN désynchronisés (contrat de features)</w:t>
            </w:r>
          </w:p>
        </w:tc>
        <w:tc>
          <w:tcPr>
            <w:tcW w:type="dxa" w:w="2880"/>
          </w:tcPr>
          <w:p>
            <w:r/>
            <w:r>
              <w:rPr>
                <w:sz w:val="18"/>
              </w:rPr>
              <w:t>Relancer train_tdbrain avec --seed-db pour régénérer les deux</w:t>
            </w:r>
          </w:p>
        </w:tc>
      </w:tr>
      <w:tr>
        <w:tc>
          <w:tcPr>
            <w:tcW w:type="dxa" w:w="2880"/>
          </w:tcPr>
          <w:p>
            <w:r/>
            <w:r>
              <w:rPr>
                <w:sz w:val="18"/>
              </w:rPr>
              <w:t>Le port 8501 est déjà utilisé</w:t>
            </w:r>
          </w:p>
        </w:tc>
        <w:tc>
          <w:tcPr>
            <w:tcW w:type="dxa" w:w="2880"/>
          </w:tcPr>
          <w:p>
            <w:r/>
            <w:r>
              <w:rPr>
                <w:sz w:val="18"/>
              </w:rPr>
              <w:t>Une autre instance tourne</w:t>
            </w:r>
          </w:p>
        </w:tc>
        <w:tc>
          <w:tcPr>
            <w:tcW w:type="dxa" w:w="2880"/>
          </w:tcPr>
          <w:p>
            <w:r/>
            <w:r>
              <w:rPr>
                <w:sz w:val="18"/>
              </w:rPr>
              <w:t>Ajouter --server.port 8600, ou arrêter l'instance existante</w:t>
            </w:r>
          </w:p>
        </w:tc>
      </w:tr>
    </w:tbl>
    <w:p/>
    <w:p>
      <w:pPr>
        <w:pStyle w:val="Heading1"/>
      </w:pPr>
      <w:r>
        <w:rPr>
          <w:color w:val="1E3A8A"/>
        </w:rPr>
        <w:t>8. Récapitulatif des commandes</w:t>
      </w:r>
    </w:p>
    <w:p>
      <w:r>
        <w:t>Installation minimale (cohorte simulée uniquement) :</w:t>
      </w:r>
    </w:p>
    <w:p>
      <w:pPr>
        <w:spacing w:after="40"/>
        <w:ind w:left="283"/>
      </w:pPr>
      <w:r>
        <w:rPr>
          <w:rFonts w:ascii="Consolas" w:hAnsi="Consolas"/>
          <w:color w:val="333333"/>
          <w:sz w:val="20"/>
        </w:rPr>
        <w:t>python -m venv .venv</w:t>
      </w:r>
    </w:p>
    <w:p>
      <w:pPr>
        <w:spacing w:after="40"/>
        <w:ind w:left="283"/>
      </w:pPr>
      <w:r>
        <w:rPr>
          <w:rFonts w:ascii="Consolas" w:hAnsi="Consolas"/>
          <w:color w:val="333333"/>
          <w:sz w:val="20"/>
        </w:rPr>
        <w:t>.\.venv\Scripts\Activate.ps1</w:t>
      </w:r>
    </w:p>
    <w:p>
      <w:pPr>
        <w:spacing w:after="40"/>
        <w:ind w:left="283"/>
      </w:pPr>
      <w:r>
        <w:rPr>
          <w:rFonts w:ascii="Consolas" w:hAnsi="Consolas"/>
          <w:color w:val="333333"/>
          <w:sz w:val="20"/>
        </w:rPr>
        <w:t>python -m pip install --upgrade pip</w:t>
      </w:r>
    </w:p>
    <w:p>
      <w:pPr>
        <w:spacing w:after="40"/>
        <w:ind w:left="283"/>
      </w:pPr>
      <w:r>
        <w:rPr>
          <w:rFonts w:ascii="Consolas" w:hAnsi="Consolas"/>
          <w:color w:val="333333"/>
          <w:sz w:val="20"/>
        </w:rPr>
        <w:t>pip install -r requirements.txt</w:t>
      </w:r>
    </w:p>
    <w:p>
      <w:pPr>
        <w:spacing w:after="40"/>
        <w:ind w:left="283"/>
      </w:pPr>
      <w:r>
        <w:rPr>
          <w:rFonts w:ascii="Consolas" w:hAnsi="Consolas"/>
          <w:color w:val="333333"/>
          <w:sz w:val="20"/>
        </w:rPr>
        <w:t>python -m src.data.simulator</w:t>
      </w:r>
    </w:p>
    <w:p>
      <w:pPr>
        <w:spacing w:after="40"/>
        <w:ind w:left="283"/>
      </w:pPr>
      <w:r>
        <w:rPr>
          <w:rFonts w:ascii="Consolas" w:hAnsi="Consolas"/>
          <w:color w:val="333333"/>
          <w:sz w:val="20"/>
        </w:rPr>
        <w:t>python -m src.data.seeder</w:t>
      </w:r>
    </w:p>
    <w:p>
      <w:pPr>
        <w:spacing w:after="40"/>
        <w:ind w:left="283"/>
      </w:pPr>
      <w:r>
        <w:rPr>
          <w:rFonts w:ascii="Consolas" w:hAnsi="Consolas"/>
          <w:color w:val="333333"/>
          <w:sz w:val="20"/>
        </w:rPr>
        <w:t>streamlit run src/app/main.py</w:t>
      </w:r>
    </w:p>
    <w:p>
      <w:pPr>
        <w:spacing w:after="40"/>
        <w:ind w:left="283"/>
      </w:pPr>
      <w:r>
        <w:rPr>
          <w:rFonts w:ascii="Consolas" w:hAnsi="Consolas"/>
          <w:color w:val="333333"/>
          <w:sz w:val="20"/>
        </w:rPr>
        <w:t># puis : page Training &gt; onglet « Modèle final » &gt; entraîner</w:t>
      </w:r>
    </w:p>
    <w:p/>
    <w:p>
      <w:r>
        <w:t>Ajout de la cohorte réelle TDBRAIN :</w:t>
      </w:r>
    </w:p>
    <w:p>
      <w:pPr>
        <w:spacing w:after="40"/>
        <w:ind w:left="283"/>
      </w:pPr>
      <w:r>
        <w:rPr>
          <w:rFonts w:ascii="Consolas" w:hAnsi="Consolas"/>
          <w:color w:val="333333"/>
          <w:sz w:val="20"/>
        </w:rPr>
        <w:t>python -m src.models.train_tdbrain `</w:t>
      </w:r>
    </w:p>
    <w:p>
      <w:pPr>
        <w:spacing w:after="40"/>
        <w:ind w:left="283"/>
      </w:pPr>
      <w:r>
        <w:rPr>
          <w:rFonts w:ascii="Consolas" w:hAnsi="Consolas"/>
          <w:color w:val="333333"/>
          <w:sz w:val="20"/>
        </w:rPr>
        <w:t xml:space="preserve">    --root "data/tdbrain/TDBRAIN_Dataset_V3_1_Encr/TDBRAIN_Dataset_V3_1" `</w:t>
      </w:r>
    </w:p>
    <w:p>
      <w:pPr>
        <w:spacing w:after="40"/>
        <w:ind w:left="283"/>
      </w:pPr>
      <w:r>
        <w:rPr>
          <w:rFonts w:ascii="Consolas" w:hAnsi="Consolas"/>
          <w:color w:val="333333"/>
          <w:sz w:val="20"/>
        </w:rPr>
        <w:t xml:space="preserve">    --seed-db recherche_tdbrain.sqlite3</w:t>
      </w:r>
    </w:p>
    <w:p/>
    <w:p>
      <w:r>
        <w:rPr>
          <w:i/>
          <w:sz w:val="20"/>
        </w:rPr>
        <w:t>Une fois l'installation terminée, se reporter au « Guide d'utilisation » pour la prise en main écran par écran.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