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d'utilisation</w:t>
      </w:r>
    </w:p>
    <w:p>
      <w:pPr>
        <w:jc w:val="center"/>
      </w:pPr>
      <w:r>
        <w:rPr>
          <w:sz w:val="28"/>
        </w:rPr>
        <w:t>Application Recherche-App — rTMS + LSTM (EEG / ECG)</w:t>
      </w:r>
    </w:p>
    <w:p>
      <w:pPr>
        <w:jc w:val="center"/>
      </w:pPr>
      <w:r>
        <w:rPr>
          <w:i/>
          <w:sz w:val="22"/>
        </w:rPr>
        <w:t>PFE 2026 — prise en main écran par écran</w:t>
      </w:r>
    </w:p>
    <w:p/>
    <w:p>
      <w:r>
        <w:t>Ce guide présente l'application écran par écran : à quoi sert chaque page, comment l'utiliser, et comment lire ce qu'elle affiche. Il s'adresse à un utilisateur — clinicien, chercheur ou examinateur — qui découvre l'application.</w:t>
      </w:r>
    </w:p>
    <w:p>
      <w:r>
        <w:rPr>
          <w:i/>
        </w:rPr>
        <w:t>L'installation n'est pas traitée ici : voir le « Guide d'installation ». Ce guide suppose l'application lancée et au moins une cohorte chargée.</w:t>
      </w:r>
    </w:p>
    <w:p>
      <w:r>
        <w:br w:type="page"/>
      </w:r>
    </w:p>
    <w:p>
      <w:pPr>
        <w:pStyle w:val="Heading1"/>
      </w:pPr>
      <w:r>
        <w:rPr>
          <w:color w:val="1E3A8A"/>
        </w:rPr>
        <w:t>1. Principes à connaître avant de commencer</w:t>
      </w:r>
    </w:p>
    <w:p>
      <w:pPr>
        <w:pStyle w:val="Heading2"/>
      </w:pPr>
      <w:r>
        <w:rPr>
          <w:color w:val="1E3A8A"/>
        </w:rPr>
        <w:t>1.1 Deux cohortes, jamais mélangées</w:t>
      </w:r>
    </w:p>
    <w:p>
      <w:r>
        <w:t>Toutes les pages possèdent un sélecteur « Source de données » dans la barre latérale. Il commande l'intégralité de l'application : chaque cohorte a sa propre base SQLite et son propre modèle entraîné. Un patient simulé et un patient réel ne peuvent donc jamais se retrouver dans la même table ni dans le même entraînement.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Données simulées</w:t>
            </w:r>
          </w:p>
        </w:tc>
        <w:tc>
          <w:tcPr>
            <w:tcW w:type="dxa" w:w="2880"/>
          </w:tcPr>
          <w:p>
            <w:r/>
            <w:r>
              <w:rPr>
                <w:b/>
                <w:sz w:val="18"/>
              </w:rPr>
              <w:t>TDBRAIN (EEG réel)</w:t>
            </w:r>
          </w:p>
        </w:tc>
      </w:tr>
      <w:tr>
        <w:tc>
          <w:tcPr>
            <w:tcW w:type="dxa" w:w="2880"/>
          </w:tcPr>
          <w:p>
            <w:r/>
            <w:r>
              <w:rPr>
                <w:sz w:val="18"/>
              </w:rPr>
              <w:t>Origine</w:t>
            </w:r>
          </w:p>
        </w:tc>
        <w:tc>
          <w:tcPr>
            <w:tcW w:type="dxa" w:w="2880"/>
          </w:tcPr>
          <w:p>
            <w:r/>
            <w:r>
              <w:rPr>
                <w:sz w:val="18"/>
              </w:rPr>
              <w:t>Générateur du projet</w:t>
            </w:r>
          </w:p>
        </w:tc>
        <w:tc>
          <w:tcPr>
            <w:tcW w:type="dxa" w:w="2880"/>
          </w:tcPr>
          <w:p>
            <w:r/>
            <w:r>
              <w:rPr>
                <w:sz w:val="18"/>
              </w:rPr>
              <w:t>Cohorte publique Brainclinics</w:t>
            </w:r>
          </w:p>
        </w:tc>
      </w:tr>
      <w:tr>
        <w:tc>
          <w:tcPr>
            <w:tcW w:type="dxa" w:w="2880"/>
          </w:tcPr>
          <w:p>
            <w:r/>
            <w:r>
              <w:rPr>
                <w:sz w:val="18"/>
              </w:rPr>
              <w:t>Patients</w:t>
            </w:r>
          </w:p>
        </w:tc>
        <w:tc>
          <w:tcPr>
            <w:tcW w:type="dxa" w:w="2880"/>
          </w:tcPr>
          <w:p>
            <w:r/>
            <w:r>
              <w:rPr>
                <w:sz w:val="18"/>
              </w:rPr>
              <w:t>100</w:t>
            </w:r>
          </w:p>
        </w:tc>
        <w:tc>
          <w:tcPr>
            <w:tcW w:type="dxa" w:w="2880"/>
          </w:tcPr>
          <w:p>
            <w:r/>
            <w:r>
              <w:rPr>
                <w:sz w:val="18"/>
              </w:rPr>
              <w:t>132 (MDD traités par rTMS)</w:t>
            </w:r>
          </w:p>
        </w:tc>
      </w:tr>
      <w:tr>
        <w:tc>
          <w:tcPr>
            <w:tcW w:type="dxa" w:w="2880"/>
          </w:tcPr>
          <w:p>
            <w:r/>
            <w:r>
              <w:rPr>
                <w:sz w:val="18"/>
              </w:rPr>
              <w:t>Axe temporel</w:t>
            </w:r>
          </w:p>
        </w:tc>
        <w:tc>
          <w:tcPr>
            <w:tcW w:type="dxa" w:w="2880"/>
          </w:tcPr>
          <w:p>
            <w:r/>
            <w:r>
              <w:rPr>
                <w:sz w:val="18"/>
              </w:rPr>
              <w:t>10 séances de traitement</w:t>
            </w:r>
          </w:p>
        </w:tc>
        <w:tc>
          <w:tcPr>
            <w:tcW w:type="dxa" w:w="2880"/>
          </w:tcPr>
          <w:p>
            <w:r/>
            <w:r>
              <w:rPr>
                <w:sz w:val="18"/>
              </w:rPr>
              <w:t>Époques d'un unique enregistrement</w:t>
            </w:r>
          </w:p>
        </w:tc>
      </w:tr>
      <w:tr>
        <w:tc>
          <w:tcPr>
            <w:tcW w:type="dxa" w:w="2880"/>
          </w:tcPr>
          <w:p>
            <w:r/>
            <w:r>
              <w:rPr>
                <w:sz w:val="18"/>
              </w:rPr>
              <w:t>Signal</w:t>
            </w:r>
          </w:p>
        </w:tc>
        <w:tc>
          <w:tcPr>
            <w:tcW w:type="dxa" w:w="2880"/>
          </w:tcPr>
          <w:p>
            <w:r/>
            <w:r>
              <w:rPr>
                <w:sz w:val="18"/>
              </w:rPr>
              <w:t>1 canal EEG</w:t>
            </w:r>
          </w:p>
        </w:tc>
        <w:tc>
          <w:tcPr>
            <w:tcW w:type="dxa" w:w="2880"/>
          </w:tcPr>
          <w:p>
            <w:r/>
            <w:r>
              <w:rPr>
                <w:sz w:val="18"/>
              </w:rPr>
              <w:t>26 canaux EEG + dérivation ECG</w:t>
            </w:r>
          </w:p>
        </w:tc>
      </w:tr>
      <w:tr>
        <w:tc>
          <w:tcPr>
            <w:tcW w:type="dxa" w:w="2880"/>
          </w:tcPr>
          <w:p>
            <w:r/>
            <w:r>
              <w:rPr>
                <w:sz w:val="18"/>
              </w:rPr>
              <w:t>Features du modèle</w:t>
            </w:r>
          </w:p>
        </w:tc>
        <w:tc>
          <w:tcPr>
            <w:tcW w:type="dxa" w:w="2880"/>
          </w:tcPr>
          <w:p>
            <w:r/>
            <w:r>
              <w:rPr>
                <w:sz w:val="18"/>
              </w:rPr>
              <w:t>8</w:t>
            </w:r>
          </w:p>
        </w:tc>
        <w:tc>
          <w:tcPr>
            <w:tcW w:type="dxa" w:w="2880"/>
          </w:tcPr>
          <w:p>
            <w:r/>
            <w:r>
              <w:rPr>
                <w:sz w:val="18"/>
              </w:rPr>
              <w:t>130 (EEG) ou 135 (EEG + HRV)</w:t>
            </w:r>
          </w:p>
        </w:tc>
      </w:tr>
      <w:tr>
        <w:tc>
          <w:tcPr>
            <w:tcW w:type="dxa" w:w="2880"/>
          </w:tcPr>
          <w:p>
            <w:r/>
            <w:r>
              <w:rPr>
                <w:sz w:val="18"/>
              </w:rPr>
              <w:t>Base</w:t>
            </w:r>
          </w:p>
        </w:tc>
        <w:tc>
          <w:tcPr>
            <w:tcW w:type="dxa" w:w="2880"/>
          </w:tcPr>
          <w:p>
            <w:r/>
            <w:r>
              <w:rPr>
                <w:sz w:val="18"/>
              </w:rPr>
              <w:t>recherche.sqlite3</w:t>
            </w:r>
          </w:p>
        </w:tc>
        <w:tc>
          <w:tcPr>
            <w:tcW w:type="dxa" w:w="2880"/>
          </w:tcPr>
          <w:p>
            <w:r/>
            <w:r>
              <w:rPr>
                <w:sz w:val="18"/>
              </w:rPr>
              <w:t>recherche_tdbrain.sqlite3</w:t>
            </w:r>
          </w:p>
        </w:tc>
      </w:tr>
    </w:tbl>
    <w:p/>
    <w:p>
      <w:pPr>
        <w:pStyle w:val="Heading2"/>
      </w:pPr>
      <w:r>
        <w:rPr>
          <w:color w:val="1E3A8A"/>
        </w:rPr>
        <w:t>1.2 « Séance » ne veut pas dire la même chose</w:t>
      </w:r>
    </w:p>
    <w:p>
      <w:pPr>
        <w:spacing w:before="80" w:after="160"/>
      </w:pPr>
      <w:r>
        <w:rPr>
          <w:b/>
          <w:color w:val="991B1B"/>
        </w:rPr>
        <w:t xml:space="preserve">Attention : </w:t>
      </w:r>
      <w:r>
        <w:t>C'est le point le plus important pour lire correctement l'application. Dans la cohorte simulée, une séance est une vraie séance de traitement : il y a une évolution au fil du temps. Dans TDBRAIN, il n'existe qu'un seul enregistrement de repos réalisé AVANT le traitement ; ce qui est appelé « époque » est une fenêtre de ce même enregistrement. Il n'y a donc aucune trajectoire clinique à observer dans TDBRAIN.</w:t>
      </w:r>
    </w:p>
    <w:p>
      <w:r>
        <w:t>L'application signale systématiquement cette différence à l'écran : les libellés passent de « séance » à « époque », et des encadrés rappellent que les paramètres rTMS et les scores BDI-II sont identiques d'une époque à l'autre.</w:t>
      </w:r>
    </w:p>
    <w:p>
      <w:pPr>
        <w:pStyle w:val="Heading2"/>
      </w:pPr>
      <w:r>
        <w:rPr>
          <w:color w:val="1E3A8A"/>
        </w:rPr>
        <w:t>1.3 Le score utilisé</w:t>
      </w:r>
    </w:p>
    <w:p>
      <w:r>
        <w:t>La réponse au traitement est évaluée avec le BDI-II (échelle de dépression). Un patient est dit « répondeur » lorsque son score diminue d'au moins 50 % entre le début et la fin du traitement. C'est ce seuil de 50 % que le modèle apprend à prédire, et qui apparaît en pointillés sur les graphiques.</w:t>
      </w:r>
    </w:p>
    <w:p>
      <w:r>
        <w:br w:type="page"/>
      </w:r>
    </w:p>
    <w:p>
      <w:pPr>
        <w:pStyle w:val="Heading1"/>
      </w:pPr>
      <w:r>
        <w:rPr>
          <w:color w:val="1E3A8A"/>
        </w:rPr>
        <w:t>2. Page d'accueil</w:t>
      </w:r>
    </w:p>
    <w:p>
      <w:r>
        <w:t>Point d'entrée de l'application. Elle rappelle l'objet du projet, affiche l'état de la base pour la source sélectionnée, et permet d'initialiser la cohorte simulée en un clic si la base est vide.</w:t>
      </w:r>
    </w:p>
    <w:p>
      <w:pPr>
        <w:jc w:val="center"/>
      </w:pPr>
      <w:r>
        <w:drawing>
          <wp:inline xmlns:a="http://schemas.openxmlformats.org/drawingml/2006/main" xmlns:pic="http://schemas.openxmlformats.org/drawingml/2006/picture">
            <wp:extent cx="5400000" cy="3471429"/>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400000" cy="3471429"/>
                    </a:xfrm>
                    <a:prstGeom prst="rect"/>
                  </pic:spPr>
                </pic:pic>
              </a:graphicData>
            </a:graphic>
          </wp:inline>
        </w:drawing>
      </w:r>
    </w:p>
    <w:p>
      <w:pPr>
        <w:jc w:val="center"/>
      </w:pPr>
      <w:r>
        <w:rPr>
          <w:i/>
          <w:sz w:val="18"/>
        </w:rPr>
        <w:t>Figure : Page d'accueil, cohorte simulée</w:t>
      </w:r>
    </w:p>
    <w:p>
      <w:pPr>
        <w:pStyle w:val="ListBullet"/>
      </w:pPr>
      <w:r>
        <w:t>Le sélecteur « Source de données » est en haut de la barre latérale ; il reste actif quand on change de page.</w:t>
      </w:r>
    </w:p>
    <w:p>
      <w:pPr>
        <w:pStyle w:val="ListBullet"/>
      </w:pPr>
      <w:r>
        <w:t>Le bouton « Initialiser avec les données simulées » génère le jeu de données s'il manque, puis l'insère en base.</w:t>
      </w:r>
    </w:p>
    <w:p>
      <w:pPr>
        <w:spacing w:before="80" w:after="160"/>
      </w:pPr>
      <w:r>
        <w:rPr>
          <w:b/>
          <w:color w:val="B45309"/>
        </w:rPr>
        <w:t xml:space="preserve">Note : </w:t>
      </w:r>
      <w:r>
        <w:t>Ce bouton ne concerne que la cohorte simulée. La cohorte réelle se charge en ligne de commande (voir le Guide d'installation, étape 8).</w:t>
      </w:r>
    </w:p>
    <w:p>
      <w:pPr>
        <w:pStyle w:val="Heading1"/>
      </w:pPr>
      <w:r>
        <w:rPr>
          <w:color w:val="1E3A8A"/>
        </w:rPr>
        <w:t>3. Page Patients</w:t>
      </w:r>
    </w:p>
    <w:p>
      <w:r>
        <w:t>Liste l'ensemble des patients de la cohorte active et permet de consulter le détail de chacun : identité, diagnostic, nombre de séances et historique clinique.</w:t>
      </w:r>
    </w:p>
    <w:p>
      <w:pPr>
        <w:jc w:val="center"/>
      </w:pPr>
      <w:r>
        <w:drawing>
          <wp:inline xmlns:a="http://schemas.openxmlformats.org/drawingml/2006/main" xmlns:pic="http://schemas.openxmlformats.org/drawingml/2006/picture">
            <wp:extent cx="5400000" cy="3471429"/>
            <wp:docPr id="2" name="Picture 2"/>
            <wp:cNvGraphicFramePr>
              <a:graphicFrameLocks noChangeAspect="1"/>
            </wp:cNvGraphicFramePr>
            <a:graphic>
              <a:graphicData uri="http://schemas.openxmlformats.org/drawingml/2006/picture">
                <pic:pic>
                  <pic:nvPicPr>
                    <pic:cNvPr id="0" name="02_patients.png"/>
                    <pic:cNvPicPr/>
                  </pic:nvPicPr>
                  <pic:blipFill>
                    <a:blip r:embed="rId10"/>
                    <a:stretch>
                      <a:fillRect/>
                    </a:stretch>
                  </pic:blipFill>
                  <pic:spPr>
                    <a:xfrm>
                      <a:off x="0" y="0"/>
                      <a:ext cx="5400000" cy="3471429"/>
                    </a:xfrm>
                    <a:prstGeom prst="rect"/>
                  </pic:spPr>
                </pic:pic>
              </a:graphicData>
            </a:graphic>
          </wp:inline>
        </w:drawing>
      </w:r>
    </w:p>
    <w:p>
      <w:pPr>
        <w:jc w:val="center"/>
      </w:pPr>
      <w:r>
        <w:rPr>
          <w:i/>
          <w:sz w:val="18"/>
        </w:rPr>
        <w:t>Figure : Liste et détail d'un patient (cohorte simulée)</w:t>
      </w:r>
    </w:p>
    <w:p>
      <w:pPr>
        <w:pStyle w:val="Heading2"/>
      </w:pPr>
      <w:r>
        <w:rPr>
          <w:color w:val="1E3A8A"/>
        </w:rPr>
        <w:t>Ce que l'on peut faire</w:t>
      </w:r>
    </w:p>
    <w:p>
      <w:pPr>
        <w:spacing w:after="80"/>
      </w:pPr>
      <w:r>
        <w:rPr>
          <w:b/>
        </w:rPr>
        <w:t xml:space="preserve">Étape 1. </w:t>
      </w:r>
      <w:r>
        <w:t>Consulter le tableau récapitulatif : identifiant, nom, âge, diagnostic, nombre de séances et dernier score enregistré.</w:t>
      </w:r>
    </w:p>
    <w:p>
      <w:pPr>
        <w:spacing w:after="80"/>
      </w:pPr>
      <w:r>
        <w:rPr>
          <w:b/>
        </w:rPr>
        <w:t xml:space="preserve">Étape 2. </w:t>
      </w:r>
      <w:r>
        <w:t>Sélectionner un patient dans la liste déroulante « Détail d'un patient » pour afficher sa fiche et son historique clinique.</w:t>
      </w:r>
    </w:p>
    <w:p>
      <w:pPr>
        <w:spacing w:after="80"/>
      </w:pPr>
      <w:r>
        <w:rPr>
          <w:b/>
        </w:rPr>
        <w:t xml:space="preserve">Étape 3. </w:t>
      </w:r>
      <w:r>
        <w:t>Ajouter une entrée au dossier (note + score) via l'encadré « Ajouter une entrée au dossier ».</w:t>
      </w:r>
    </w:p>
    <w:p>
      <w:pPr>
        <w:spacing w:after="80"/>
      </w:pPr>
      <w:r>
        <w:rPr>
          <w:b/>
        </w:rPr>
        <w:t xml:space="preserve">Étape 4. </w:t>
      </w:r>
      <w:r>
        <w:t>Créer un nouveau patient via « Créer un nouveau patient ».</w:t>
      </w:r>
    </w:p>
    <w:p>
      <w:pPr>
        <w:spacing w:before="80" w:after="160"/>
      </w:pPr>
      <w:r>
        <w:rPr>
          <w:b/>
          <w:color w:val="B45309"/>
        </w:rPr>
        <w:t xml:space="preserve">Note : </w:t>
      </w:r>
      <w:r>
        <w:t>Un patient créé manuellement n'a aucun signal EEG : il apparaîtra dans la liste mais ne pourra pas servir à une prédiction tant qu'aucune séance avec signal ne lui a été ajoutée (voir la page Boucle clinique).</w:t>
      </w:r>
    </w:p>
    <w:p>
      <w:r>
        <w:br w:type="page"/>
      </w:r>
    </w:p>
    <w:p>
      <w:pPr>
        <w:pStyle w:val="Heading1"/>
      </w:pPr>
      <w:r>
        <w:rPr>
          <w:color w:val="1E3A8A"/>
        </w:rPr>
        <w:t>4. Page Sessions</w:t>
      </w:r>
    </w:p>
    <w:p>
      <w:r>
        <w:t>Détaille une séance (ou une époque) d'un patient : son statut, les scores avant/après, les paramètres de stimulation appliqués et les signaux enregistrés.</w:t>
      </w:r>
    </w:p>
    <w:p>
      <w:pPr>
        <w:jc w:val="center"/>
      </w:pPr>
      <w:r>
        <w:drawing>
          <wp:inline xmlns:a="http://schemas.openxmlformats.org/drawingml/2006/main" xmlns:pic="http://schemas.openxmlformats.org/drawingml/2006/picture">
            <wp:extent cx="5400000" cy="3471429"/>
            <wp:docPr id="3" name="Picture 3"/>
            <wp:cNvGraphicFramePr>
              <a:graphicFrameLocks noChangeAspect="1"/>
            </wp:cNvGraphicFramePr>
            <a:graphic>
              <a:graphicData uri="http://schemas.openxmlformats.org/drawingml/2006/picture">
                <pic:pic>
                  <pic:nvPicPr>
                    <pic:cNvPr id="0" name="03_sessions.png"/>
                    <pic:cNvPicPr/>
                  </pic:nvPicPr>
                  <pic:blipFill>
                    <a:blip r:embed="rId11"/>
                    <a:stretch>
                      <a:fillRect/>
                    </a:stretch>
                  </pic:blipFill>
                  <pic:spPr>
                    <a:xfrm>
                      <a:off x="0" y="0"/>
                      <a:ext cx="5400000" cy="3471429"/>
                    </a:xfrm>
                    <a:prstGeom prst="rect"/>
                  </pic:spPr>
                </pic:pic>
              </a:graphicData>
            </a:graphic>
          </wp:inline>
        </w:drawing>
      </w:r>
    </w:p>
    <w:p>
      <w:pPr>
        <w:jc w:val="center"/>
      </w:pPr>
      <w:r>
        <w:rPr>
          <w:i/>
          <w:sz w:val="18"/>
        </w:rPr>
        <w:t>Figure : Détail d'une séance (cohorte simulée)</w:t>
      </w:r>
    </w:p>
    <w:p>
      <w:pPr>
        <w:pStyle w:val="Heading2"/>
      </w:pPr>
      <w:r>
        <w:rPr>
          <w:color w:val="1E3A8A"/>
        </w:rPr>
        <w:t>4.1 Paramètres rTMS</w:t>
      </w:r>
    </w:p>
    <w:p>
      <w:r>
        <w:t>Le bloc « Paramètres rTMS » indique la fréquence, l'intensité, la durée et le nombre de trains, la localisation et le nombre total d'impulsions.</w:t>
      </w:r>
    </w:p>
    <w:p>
      <w:pPr>
        <w:spacing w:before="80" w:after="160"/>
      </w:pPr>
      <w:r>
        <w:rPr>
          <w:b/>
          <w:color w:val="991B1B"/>
        </w:rPr>
        <w:t xml:space="preserve">Attention : </w:t>
      </w:r>
      <w:r>
        <w:t>Sur la cohorte TDBRAIN, plusieurs de ces valeurs s'affichent « — (non publié) ». Ce n'est pas un défaut de l'application : la base source publie le protocole (fréquence et site de stimulation) mais pas la dose administrée patient par patient. Ces champs sont volontairement laissés vides plutôt que remplis avec des valeurs plausibles mais inventées.</w:t>
      </w:r>
    </w:p>
    <w:p>
      <w:pPr>
        <w:pStyle w:val="Heading2"/>
      </w:pPr>
      <w:r>
        <w:rPr>
          <w:color w:val="1E3A8A"/>
        </w:rPr>
        <w:t>4.2 Signaux enregistrés</w:t>
      </w:r>
    </w:p>
    <w:p>
      <w:r>
        <w:t>La liste déroulante « Canal » donne accès à chaque signal de la séance. Sur la cohorte simulée il y a un canal EEG. Sur TDBRAIN, chaque époque contient 27 signaux : les 26 canaux du montage EEG et la dérivation ECG.</w:t>
      </w:r>
    </w:p>
    <w:p>
      <w:pPr>
        <w:jc w:val="center"/>
      </w:pPr>
      <w:r>
        <w:drawing>
          <wp:inline xmlns:a="http://schemas.openxmlformats.org/drawingml/2006/main" xmlns:pic="http://schemas.openxmlformats.org/drawingml/2006/picture">
            <wp:extent cx="5400000" cy="3471429"/>
            <wp:docPr id="4" name="Picture 4"/>
            <wp:cNvGraphicFramePr>
              <a:graphicFrameLocks noChangeAspect="1"/>
            </wp:cNvGraphicFramePr>
            <a:graphic>
              <a:graphicData uri="http://schemas.openxmlformats.org/drawingml/2006/picture">
                <pic:pic>
                  <pic:nvPicPr>
                    <pic:cNvPr id="0" name="td_03_sessions.png"/>
                    <pic:cNvPicPr/>
                  </pic:nvPicPr>
                  <pic:blipFill>
                    <a:blip r:embed="rId12"/>
                    <a:stretch>
                      <a:fillRect/>
                    </a:stretch>
                  </pic:blipFill>
                  <pic:spPr>
                    <a:xfrm>
                      <a:off x="0" y="0"/>
                      <a:ext cx="5400000" cy="3471429"/>
                    </a:xfrm>
                    <a:prstGeom prst="rect"/>
                  </pic:spPr>
                </pic:pic>
              </a:graphicData>
            </a:graphic>
          </wp:inline>
        </w:drawing>
      </w:r>
    </w:p>
    <w:p>
      <w:pPr>
        <w:jc w:val="center"/>
      </w:pPr>
      <w:r>
        <w:rPr>
          <w:i/>
          <w:sz w:val="18"/>
        </w:rPr>
        <w:t>Figure : Séance TDBRAIN : 27 signaux, paramètres de dose non publiés</w:t>
      </w:r>
    </w:p>
    <w:p>
      <w:pPr>
        <w:pStyle w:val="Heading2"/>
      </w:pPr>
      <w:r>
        <w:rPr>
          <w:color w:val="1E3A8A"/>
        </w:rPr>
        <w:t>4.3 Le signal ECG (tachogramme RR)</w:t>
      </w:r>
    </w:p>
    <w:p>
      <w:r>
        <w:t>En sélectionnant le canal « Erbs (ECG) », l'application affiche le tachogramme : la durée entre battements cardiaques successifs, en millisecondes. L'axe horizontal est le numéro de battement, et non le temps, car un rythme cardiaque n'est pas échantillonné régulièrement.</w:t>
      </w:r>
    </w:p>
    <w:p>
      <w:pPr>
        <w:jc w:val="center"/>
      </w:pPr>
      <w:r>
        <w:drawing>
          <wp:inline xmlns:a="http://schemas.openxmlformats.org/drawingml/2006/main" xmlns:pic="http://schemas.openxmlformats.org/drawingml/2006/picture">
            <wp:extent cx="5400000" cy="3471429"/>
            <wp:docPr id="5" name="Picture 5"/>
            <wp:cNvGraphicFramePr>
              <a:graphicFrameLocks noChangeAspect="1"/>
            </wp:cNvGraphicFramePr>
            <a:graphic>
              <a:graphicData uri="http://schemas.openxmlformats.org/drawingml/2006/picture">
                <pic:pic>
                  <pic:nvPicPr>
                    <pic:cNvPr id="0" name="td_03b_sessions_ecg.png"/>
                    <pic:cNvPicPr/>
                  </pic:nvPicPr>
                  <pic:blipFill>
                    <a:blip r:embed="rId13"/>
                    <a:stretch>
                      <a:fillRect/>
                    </a:stretch>
                  </pic:blipFill>
                  <pic:spPr>
                    <a:xfrm>
                      <a:off x="0" y="0"/>
                      <a:ext cx="5400000" cy="3471429"/>
                    </a:xfrm>
                    <a:prstGeom prst="rect"/>
                  </pic:spPr>
                </pic:pic>
              </a:graphicData>
            </a:graphic>
          </wp:inline>
        </w:drawing>
      </w:r>
    </w:p>
    <w:p>
      <w:pPr>
        <w:jc w:val="center"/>
      </w:pPr>
      <w:r>
        <w:rPr>
          <w:i/>
          <w:sz w:val="18"/>
        </w:rPr>
        <w:t>Figure : Tachogramme RR et métriques HRV extraites de la dérivation ECG</w:t>
      </w:r>
    </w:p>
    <w:p>
      <w:r>
        <w:t>L'encadré « Features extraits » donne les cinq métriques de variabilité cardiaque calculées : fréquence cardiaque moyenne, SDNN, RMSSD, pNN50 et rapport LF/HF. Ce sont exactement les cinq valeurs que le modèle utilise lorsque la modalité ECG est activée.</w:t>
      </w:r>
    </w:p>
    <w:p>
      <w:pPr>
        <w:spacing w:before="80" w:after="160"/>
      </w:pPr>
      <w:r>
        <w:rPr>
          <w:b/>
          <w:color w:val="B45309"/>
        </w:rPr>
        <w:t xml:space="preserve">Note : </w:t>
      </w:r>
      <w:r>
        <w:t>La variabilité cardiaque est mesurée sur l'enregistrement complet (environ 2 minutes) puis reportée à l'identique sur chaque époque : c'est une caractéristique du patient, pas une évolution dans le temps. Une époque de 8 secondes ne contient qu'une dizaine de battements, ce qui serait insuffisant pour un calcul fiable.</w:t>
      </w:r>
    </w:p>
    <w:p>
      <w:r>
        <w:br w:type="page"/>
      </w:r>
    </w:p>
    <w:p>
      <w:pPr>
        <w:pStyle w:val="Heading1"/>
      </w:pPr>
      <w:r>
        <w:rPr>
          <w:color w:val="1E3A8A"/>
        </w:rPr>
        <w:t>5. Page Training (entraînement du modèle)</w:t>
      </w:r>
    </w:p>
    <w:p>
      <w:r>
        <w:t>C'est ici que le modèle LSTM est évalué puis entraîné. La page affiche d'abord la composition de la cohorte et le nombre de features, puis propose les hyperparamètres et deux onglets.</w:t>
      </w:r>
    </w:p>
    <w:p>
      <w:pPr>
        <w:jc w:val="center"/>
      </w:pPr>
      <w:r>
        <w:drawing>
          <wp:inline xmlns:a="http://schemas.openxmlformats.org/drawingml/2006/main" xmlns:pic="http://schemas.openxmlformats.org/drawingml/2006/picture">
            <wp:extent cx="5400000" cy="3471429"/>
            <wp:docPr id="6" name="Picture 6"/>
            <wp:cNvGraphicFramePr>
              <a:graphicFrameLocks noChangeAspect="1"/>
            </wp:cNvGraphicFramePr>
            <a:graphic>
              <a:graphicData uri="http://schemas.openxmlformats.org/drawingml/2006/picture">
                <pic:pic>
                  <pic:nvPicPr>
                    <pic:cNvPr id="0" name="04_training_form.png"/>
                    <pic:cNvPicPr/>
                  </pic:nvPicPr>
                  <pic:blipFill>
                    <a:blip r:embed="rId14"/>
                    <a:stretch>
                      <a:fillRect/>
                    </a:stretch>
                  </pic:blipFill>
                  <pic:spPr>
                    <a:xfrm>
                      <a:off x="0" y="0"/>
                      <a:ext cx="5400000" cy="3471429"/>
                    </a:xfrm>
                    <a:prstGeom prst="rect"/>
                  </pic:spPr>
                </pic:pic>
              </a:graphicData>
            </a:graphic>
          </wp:inline>
        </w:drawing>
      </w:r>
    </w:p>
    <w:p>
      <w:pPr>
        <w:jc w:val="center"/>
      </w:pPr>
      <w:r>
        <w:rPr>
          <w:i/>
          <w:sz w:val="18"/>
        </w:rPr>
        <w:t>Figure : Hyperparamètres et onglets (cohorte simulée)</w:t>
      </w:r>
    </w:p>
    <w:p>
      <w:pPr>
        <w:pStyle w:val="Heading2"/>
      </w:pPr>
      <w:r>
        <w:rPr>
          <w:color w:val="1E3A8A"/>
        </w:rPr>
        <w:t>5.1 Onglet « Validation croisée »</w:t>
      </w:r>
    </w:p>
    <w:p>
      <w:r>
        <w:t>Mesure la performance du modèle sans l'enregistrer. La validation est toujours effectuée patient par patient (GroupKFold) : les séances d'un même patient ne sont jamais réparties entre l'entraînement et le test, ce qui évite de surestimer la performance.</w:t>
      </w:r>
    </w:p>
    <w:p>
      <w:pPr>
        <w:jc w:val="center"/>
      </w:pPr>
      <w:r>
        <w:drawing>
          <wp:inline xmlns:a="http://schemas.openxmlformats.org/drawingml/2006/main" xmlns:pic="http://schemas.openxmlformats.org/drawingml/2006/picture">
            <wp:extent cx="5400000" cy="3471429"/>
            <wp:docPr id="7" name="Picture 7"/>
            <wp:cNvGraphicFramePr>
              <a:graphicFrameLocks noChangeAspect="1"/>
            </wp:cNvGraphicFramePr>
            <a:graphic>
              <a:graphicData uri="http://schemas.openxmlformats.org/drawingml/2006/picture">
                <pic:pic>
                  <pic:nvPicPr>
                    <pic:cNvPr id="0" name="04_training.png"/>
                    <pic:cNvPicPr/>
                  </pic:nvPicPr>
                  <pic:blipFill>
                    <a:blip r:embed="rId15"/>
                    <a:stretch>
                      <a:fillRect/>
                    </a:stretch>
                  </pic:blipFill>
                  <pic:spPr>
                    <a:xfrm>
                      <a:off x="0" y="0"/>
                      <a:ext cx="5400000" cy="3471429"/>
                    </a:xfrm>
                    <a:prstGeom prst="rect"/>
                  </pic:spPr>
                </pic:pic>
              </a:graphicData>
            </a:graphic>
          </wp:inline>
        </w:drawing>
      </w:r>
    </w:p>
    <w:p>
      <w:pPr>
        <w:jc w:val="center"/>
      </w:pPr>
      <w:r>
        <w:rPr>
          <w:i/>
          <w:sz w:val="18"/>
        </w:rPr>
        <w:t>Figure : Résultats de validation croisée (cohorte simulée)</w:t>
      </w:r>
    </w:p>
    <w:p>
      <w:r>
        <w:t>Trois indicateurs sont affichés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Indicateur</w:t>
            </w:r>
          </w:p>
        </w:tc>
        <w:tc>
          <w:tcPr>
            <w:tcW w:type="dxa" w:w="4320"/>
          </w:tcPr>
          <w:p>
            <w:r/>
            <w:r>
              <w:rPr>
                <w:b/>
                <w:sz w:val="18"/>
              </w:rPr>
              <w:t>Lecture</w:t>
            </w:r>
          </w:p>
        </w:tc>
      </w:tr>
      <w:tr>
        <w:tc>
          <w:tcPr>
            <w:tcW w:type="dxa" w:w="4320"/>
          </w:tcPr>
          <w:p>
            <w:r/>
            <w:r>
              <w:rPr>
                <w:sz w:val="18"/>
              </w:rPr>
              <w:t>Accuracy</w:t>
            </w:r>
          </w:p>
        </w:tc>
        <w:tc>
          <w:tcPr>
            <w:tcW w:type="dxa" w:w="4320"/>
          </w:tcPr>
          <w:p>
            <w:r/>
            <w:r>
              <w:rPr>
                <w:sz w:val="18"/>
              </w:rPr>
              <w:t>Proportion de patients correctement classés</w:t>
            </w:r>
          </w:p>
        </w:tc>
      </w:tr>
      <w:tr>
        <w:tc>
          <w:tcPr>
            <w:tcW w:type="dxa" w:w="4320"/>
          </w:tcPr>
          <w:p>
            <w:r/>
            <w:r>
              <w:rPr>
                <w:sz w:val="18"/>
              </w:rPr>
              <w:t>AUC</w:t>
            </w:r>
          </w:p>
        </w:tc>
        <w:tc>
          <w:tcPr>
            <w:tcW w:type="dxa" w:w="4320"/>
          </w:tcPr>
          <w:p>
            <w:r/>
            <w:r>
              <w:rPr>
                <w:sz w:val="18"/>
              </w:rPr>
              <w:t>Capacité à séparer répondeurs et non-répondeurs ; 50 % = hasard</w:t>
            </w:r>
          </w:p>
        </w:tc>
      </w:tr>
      <w:tr>
        <w:tc>
          <w:tcPr>
            <w:tcW w:type="dxa" w:w="4320"/>
          </w:tcPr>
          <w:p>
            <w:r/>
            <w:r>
              <w:rPr>
                <w:sz w:val="18"/>
              </w:rPr>
              <w:t>F1</w:t>
            </w:r>
          </w:p>
        </w:tc>
        <w:tc>
          <w:tcPr>
            <w:tcW w:type="dxa" w:w="4320"/>
          </w:tcPr>
          <w:p>
            <w:r/>
            <w:r>
              <w:rPr>
                <w:sz w:val="18"/>
              </w:rPr>
              <w:t>Compromis entre précision et rappel sur la classe répondeur</w:t>
            </w:r>
          </w:p>
        </w:tc>
      </w:tr>
    </w:tbl>
    <w:p/>
    <w:p>
      <w:pPr>
        <w:pStyle w:val="Heading2"/>
      </w:pPr>
      <w:r>
        <w:rPr>
          <w:color w:val="1E3A8A"/>
        </w:rPr>
        <w:t>5.2 Onglet « Modèle final »</w:t>
      </w:r>
    </w:p>
    <w:p>
      <w:r>
        <w:t>Entraîne le modèle sur l'ensemble des patients et l'enregistre sur disque. C'est cette étape qui rend les pages Predictions, Suivi et Boucle clinique utilisables.</w:t>
      </w:r>
    </w:p>
    <w:p>
      <w:pPr>
        <w:pStyle w:val="Heading2"/>
      </w:pPr>
      <w:r>
        <w:rPr>
          <w:color w:val="1E3A8A"/>
        </w:rPr>
        <w:t>5.3 Options propres à la cohorte réelle</w:t>
      </w:r>
    </w:p>
    <w:p>
      <w:r>
        <w:t>Sous TDBRAIN, deux cases apparaissent dans la barre latérale : la normalisation z-score intra-patient, et l'ajout de la modalité ECG (HRV). Le compteur « Features » passe de 130 à 135 lorsque l'ECG est activé.</w:t>
      </w:r>
    </w:p>
    <w:p>
      <w:pPr>
        <w:jc w:val="center"/>
      </w:pPr>
      <w:r>
        <w:drawing>
          <wp:inline xmlns:a="http://schemas.openxmlformats.org/drawingml/2006/main" xmlns:pic="http://schemas.openxmlformats.org/drawingml/2006/picture">
            <wp:extent cx="5400000" cy="3471429"/>
            <wp:docPr id="8" name="Picture 8"/>
            <wp:cNvGraphicFramePr>
              <a:graphicFrameLocks noChangeAspect="1"/>
            </wp:cNvGraphicFramePr>
            <a:graphic>
              <a:graphicData uri="http://schemas.openxmlformats.org/drawingml/2006/picture">
                <pic:pic>
                  <pic:nvPicPr>
                    <pic:cNvPr id="0" name="td_04_training.png"/>
                    <pic:cNvPicPr/>
                  </pic:nvPicPr>
                  <pic:blipFill>
                    <a:blip r:embed="rId16"/>
                    <a:stretch>
                      <a:fillRect/>
                    </a:stretch>
                  </pic:blipFill>
                  <pic:spPr>
                    <a:xfrm>
                      <a:off x="0" y="0"/>
                      <a:ext cx="5400000" cy="3471429"/>
                    </a:xfrm>
                    <a:prstGeom prst="rect"/>
                  </pic:spPr>
                </pic:pic>
              </a:graphicData>
            </a:graphic>
          </wp:inline>
        </w:drawing>
      </w:r>
    </w:p>
    <w:p>
      <w:pPr>
        <w:jc w:val="center"/>
      </w:pPr>
      <w:r>
        <w:rPr>
          <w:i/>
          <w:sz w:val="18"/>
        </w:rPr>
        <w:t>Figure : Training sur TDBRAIN : 132 patients, 135 features (EEG + HRV)</w:t>
      </w:r>
    </w:p>
    <w:p>
      <w:r>
        <w:br w:type="page"/>
      </w:r>
    </w:p>
    <w:p>
      <w:pPr>
        <w:pStyle w:val="Heading1"/>
      </w:pPr>
      <w:r>
        <w:rPr>
          <w:color w:val="1E3A8A"/>
        </w:rPr>
        <w:t>6. Page Predictions</w:t>
      </w:r>
    </w:p>
    <w:p>
      <w:r>
        <w:t>Applique le modèle entraîné à un patient et affiche la probabilité qu'il réponde au traitement.</w:t>
      </w:r>
    </w:p>
    <w:p>
      <w:pPr>
        <w:jc w:val="center"/>
      </w:pPr>
      <w:r>
        <w:drawing>
          <wp:inline xmlns:a="http://schemas.openxmlformats.org/drawingml/2006/main" xmlns:pic="http://schemas.openxmlformats.org/drawingml/2006/picture">
            <wp:extent cx="5400000" cy="3471429"/>
            <wp:docPr id="9" name="Picture 9"/>
            <wp:cNvGraphicFramePr>
              <a:graphicFrameLocks noChangeAspect="1"/>
            </wp:cNvGraphicFramePr>
            <a:graphic>
              <a:graphicData uri="http://schemas.openxmlformats.org/drawingml/2006/picture">
                <pic:pic>
                  <pic:nvPicPr>
                    <pic:cNvPr id="0" name="05_predictions.png"/>
                    <pic:cNvPicPr/>
                  </pic:nvPicPr>
                  <pic:blipFill>
                    <a:blip r:embed="rId17"/>
                    <a:stretch>
                      <a:fillRect/>
                    </a:stretch>
                  </pic:blipFill>
                  <pic:spPr>
                    <a:xfrm>
                      <a:off x="0" y="0"/>
                      <a:ext cx="5400000" cy="3471429"/>
                    </a:xfrm>
                    <a:prstGeom prst="rect"/>
                  </pic:spPr>
                </pic:pic>
              </a:graphicData>
            </a:graphic>
          </wp:inline>
        </w:drawing>
      </w:r>
    </w:p>
    <w:p>
      <w:pPr>
        <w:jc w:val="center"/>
      </w:pPr>
      <w:r>
        <w:rPr>
          <w:i/>
          <w:sz w:val="18"/>
        </w:rPr>
        <w:t>Figure : Prédiction pour un patient (cohorte simulée)</w:t>
      </w:r>
    </w:p>
    <w:p>
      <w:pPr>
        <w:pStyle w:val="Heading2"/>
      </w:pPr>
      <w:r>
        <w:rPr>
          <w:color w:val="1E3A8A"/>
        </w:rPr>
        <w:t>Lecture de l'écran</w:t>
      </w:r>
    </w:p>
    <w:p>
      <w:pPr>
        <w:pStyle w:val="ListBullet"/>
      </w:pPr>
      <w:r>
        <w:t>« Probabilité de réponse » : sortie du modèle, entre 0 et 100 %.</w:t>
      </w:r>
    </w:p>
    <w:p>
      <w:pPr>
        <w:pStyle w:val="ListBullet"/>
      </w:pPr>
      <w:r>
        <w:t>« Classe prédite » : répondeur au-dessus de 50 %, non-répondeur en dessous.</w:t>
      </w:r>
    </w:p>
    <w:p>
      <w:pPr>
        <w:pStyle w:val="ListBullet"/>
      </w:pPr>
      <w:r>
        <w:t>« Indice thérapeutique (TRI) » : la probabilité recalculée après chaque séance, à mesure que le modèle accumule de l'information.</w:t>
      </w:r>
    </w:p>
    <w:p>
      <w:pPr>
        <w:pStyle w:val="ListBullet"/>
      </w:pPr>
      <w:r>
        <w:t>« Comparaison au score clinique observé » : confronte la prédiction à la réduction BDI-II réellement mesurée (concordance vraie ou fausse).</w:t>
      </w:r>
    </w:p>
    <w:p>
      <w:r>
        <w:t>Les deux boutons du bas permettent d'enregistrer la prédiction en base et de télécharger un rapport PDF.</w:t>
      </w:r>
    </w:p>
    <w:p>
      <w:pPr>
        <w:jc w:val="center"/>
      </w:pPr>
      <w:r>
        <w:drawing>
          <wp:inline xmlns:a="http://schemas.openxmlformats.org/drawingml/2006/main" xmlns:pic="http://schemas.openxmlformats.org/drawingml/2006/picture">
            <wp:extent cx="5400000" cy="3471429"/>
            <wp:docPr id="10" name="Picture 10"/>
            <wp:cNvGraphicFramePr>
              <a:graphicFrameLocks noChangeAspect="1"/>
            </wp:cNvGraphicFramePr>
            <a:graphic>
              <a:graphicData uri="http://schemas.openxmlformats.org/drawingml/2006/picture">
                <pic:pic>
                  <pic:nvPicPr>
                    <pic:cNvPr id="0" name="td_05_predictions.png"/>
                    <pic:cNvPicPr/>
                  </pic:nvPicPr>
                  <pic:blipFill>
                    <a:blip r:embed="rId18"/>
                    <a:stretch>
                      <a:fillRect/>
                    </a:stretch>
                  </pic:blipFill>
                  <pic:spPr>
                    <a:xfrm>
                      <a:off x="0" y="0"/>
                      <a:ext cx="5400000" cy="3471429"/>
                    </a:xfrm>
                    <a:prstGeom prst="rect"/>
                  </pic:spPr>
                </pic:pic>
              </a:graphicData>
            </a:graphic>
          </wp:inline>
        </w:drawing>
      </w:r>
    </w:p>
    <w:p>
      <w:pPr>
        <w:jc w:val="center"/>
      </w:pPr>
      <w:r>
        <w:rPr>
          <w:i/>
          <w:sz w:val="18"/>
        </w:rPr>
        <w:t>Figure : Prédiction sur un patient réel TDBRAIN</w:t>
      </w:r>
    </w:p>
    <w:p>
      <w:pPr>
        <w:spacing w:before="80" w:after="160"/>
      </w:pPr>
      <w:r>
        <w:rPr>
          <w:b/>
          <w:color w:val="B45309"/>
        </w:rPr>
        <w:t xml:space="preserve">Note : </w:t>
      </w:r>
      <w:r>
        <w:t>Sur TDBRAIN, la courbe TRI porte sur des époques d'un même enregistrement : elle montre l'accumulation de preuve du modèle sur le signal, et non une amélioration clinique au fil du traitement. L'application le rappelle sous le graphique.</w:t>
      </w:r>
    </w:p>
    <w:p>
      <w:r>
        <w:br w:type="page"/>
      </w:r>
    </w:p>
    <w:p>
      <w:pPr>
        <w:pStyle w:val="Heading1"/>
      </w:pPr>
      <w:r>
        <w:rPr>
          <w:color w:val="1E3A8A"/>
        </w:rPr>
        <w:t>7. Page Suivi</w:t>
      </w:r>
    </w:p>
    <w:p>
      <w:r>
        <w:t>Contrairement à la page Predictions, qui produit un résultat unique, la page Suivi synthétise l'ensemble des séances d'un patient : trajectoire clinique, trajectoire du modèle, et cohérence entre les deux.</w:t>
      </w:r>
    </w:p>
    <w:p>
      <w:pPr>
        <w:jc w:val="center"/>
      </w:pPr>
      <w:r>
        <w:drawing>
          <wp:inline xmlns:a="http://schemas.openxmlformats.org/drawingml/2006/main" xmlns:pic="http://schemas.openxmlformats.org/drawingml/2006/picture">
            <wp:extent cx="5400000" cy="3471429"/>
            <wp:docPr id="11" name="Picture 11"/>
            <wp:cNvGraphicFramePr>
              <a:graphicFrameLocks noChangeAspect="1"/>
            </wp:cNvGraphicFramePr>
            <a:graphic>
              <a:graphicData uri="http://schemas.openxmlformats.org/drawingml/2006/picture">
                <pic:pic>
                  <pic:nvPicPr>
                    <pic:cNvPr id="0" name="06_suivi.png"/>
                    <pic:cNvPicPr/>
                  </pic:nvPicPr>
                  <pic:blipFill>
                    <a:blip r:embed="rId19"/>
                    <a:stretch>
                      <a:fillRect/>
                    </a:stretch>
                  </pic:blipFill>
                  <pic:spPr>
                    <a:xfrm>
                      <a:off x="0" y="0"/>
                      <a:ext cx="5400000" cy="3471429"/>
                    </a:xfrm>
                    <a:prstGeom prst="rect"/>
                  </pic:spPr>
                </pic:pic>
              </a:graphicData>
            </a:graphic>
          </wp:inline>
        </w:drawing>
      </w:r>
    </w:p>
    <w:p>
      <w:pPr>
        <w:jc w:val="center"/>
      </w:pPr>
      <w:r>
        <w:rPr>
          <w:i/>
          <w:sz w:val="18"/>
        </w:rPr>
        <w:t>Figure : Suivi d'un patient sur ses 10 séances (cohorte simulée)</w:t>
      </w:r>
    </w:p>
    <w:p>
      <w:pPr>
        <w:pStyle w:val="Heading2"/>
      </w:pPr>
      <w:r>
        <w:rPr>
          <w:color w:val="1E3A8A"/>
        </w:rPr>
        <w:t>7.1 Trajectoire clinique</w:t>
      </w:r>
    </w:p>
    <w:p>
      <w:r>
        <w:t>Le premier graphique trace le score BDI-II séance après séance. Deux repères l'accompagnent : le score de départ (pointillés gris) et le seuil de réponse à −50 % (pointillés verts). Une pente est estimée et qualifiée d'amélioration, stable ou aggravation.</w:t>
      </w:r>
    </w:p>
    <w:p>
      <w:pPr>
        <w:pStyle w:val="Heading2"/>
      </w:pPr>
      <w:r>
        <w:rPr>
          <w:color w:val="1E3A8A"/>
        </w:rPr>
        <w:t>7.2 Trajectoire du modèle</w:t>
      </w:r>
    </w:p>
    <w:p>
      <w:r>
        <w:t>Le second graphique trace l'indice TRI. Trois indicateurs le résument : TRI final, TRI moyen et écart-type entre séances. Un écart-type élevé signale une prédiction instable, à interpréter avec prudence.</w:t>
      </w:r>
    </w:p>
    <w:p>
      <w:pPr>
        <w:pStyle w:val="Heading2"/>
      </w:pPr>
      <w:r>
        <w:rPr>
          <w:color w:val="1E3A8A"/>
        </w:rPr>
        <w:t>7.3 Retour de synthèse</w:t>
      </w:r>
    </w:p>
    <w:p>
      <w:r>
        <w:t>En bas de page, l'application produit un commentaire en langage clair : tendance observée, réduction totale, stabilité du modèle et concordance avec l'issue réelle. Un tableau détaille ensuite chaque séance.</w:t>
      </w:r>
    </w:p>
    <w:p>
      <w:pPr>
        <w:jc w:val="center"/>
      </w:pPr>
      <w:r>
        <w:drawing>
          <wp:inline xmlns:a="http://schemas.openxmlformats.org/drawingml/2006/main" xmlns:pic="http://schemas.openxmlformats.org/drawingml/2006/picture">
            <wp:extent cx="5400000" cy="3471429"/>
            <wp:docPr id="12" name="Picture 12"/>
            <wp:cNvGraphicFramePr>
              <a:graphicFrameLocks noChangeAspect="1"/>
            </wp:cNvGraphicFramePr>
            <a:graphic>
              <a:graphicData uri="http://schemas.openxmlformats.org/drawingml/2006/picture">
                <pic:pic>
                  <pic:nvPicPr>
                    <pic:cNvPr id="0" name="td_06_suivi.png"/>
                    <pic:cNvPicPr/>
                  </pic:nvPicPr>
                  <pic:blipFill>
                    <a:blip r:embed="rId20"/>
                    <a:stretch>
                      <a:fillRect/>
                    </a:stretch>
                  </pic:blipFill>
                  <pic:spPr>
                    <a:xfrm>
                      <a:off x="0" y="0"/>
                      <a:ext cx="5400000" cy="3471429"/>
                    </a:xfrm>
                    <a:prstGeom prst="rect"/>
                  </pic:spPr>
                </pic:pic>
              </a:graphicData>
            </a:graphic>
          </wp:inline>
        </w:drawing>
      </w:r>
    </w:p>
    <w:p>
      <w:pPr>
        <w:jc w:val="center"/>
      </w:pPr>
      <w:r>
        <w:rPr>
          <w:i/>
          <w:sz w:val="18"/>
        </w:rPr>
        <w:t>Figure : Suivi d'un patient TDBRAIN</w:t>
      </w:r>
    </w:p>
    <w:p>
      <w:pPr>
        <w:spacing w:before="80" w:after="160"/>
      </w:pPr>
      <w:r>
        <w:rPr>
          <w:b/>
          <w:color w:val="991B1B"/>
        </w:rPr>
        <w:t xml:space="preserve">Attention : </w:t>
      </w:r>
      <w:r>
        <w:t>Sur TDBRAIN, un bandeau indique « Pas de trajectoire clinique ». C'est attendu : les époques portent toutes le même score BDI-II, puisqu'il n'existe qu'un seul enregistrement avant traitement. L'application refuse alors de calculer une tendance, et présente l'écart-type du TRI comme une mesure de cohérence entre fenêtres, non comme un progrès.</w:t>
      </w:r>
    </w:p>
    <w:p>
      <w:r>
        <w:br w:type="page"/>
      </w:r>
    </w:p>
    <w:p>
      <w:pPr>
        <w:pStyle w:val="Heading1"/>
      </w:pPr>
      <w:r>
        <w:rPr>
          <w:color w:val="1E3A8A"/>
        </w:rPr>
        <w:t>8. Page Boucle clinique</w:t>
      </w:r>
    </w:p>
    <w:p>
      <w:r>
        <w:t>Cette page met en œuvre le scénario d'usage visé : enregistrer une séance, obtenir une prédiction, ajuster le stimulateur, puis recommencer — jusqu'à obtenir un résultat satisfaisant.</w:t>
      </w:r>
    </w:p>
    <w:p>
      <w:r>
        <w:t>Le cycle se déroule ainsi :</w:t>
      </w:r>
    </w:p>
    <w:p>
      <w:pPr>
        <w:spacing w:after="80"/>
      </w:pPr>
      <w:r>
        <w:rPr>
          <w:b/>
        </w:rPr>
        <w:t xml:space="preserve">Étape 1. </w:t>
      </w:r>
      <w:r>
        <w:t>Enregistrer la séance : paramètres appliqués sur la machine, signal EEG et score clinique.</w:t>
      </w:r>
    </w:p>
    <w:p>
      <w:pPr>
        <w:spacing w:after="80"/>
      </w:pPr>
      <w:r>
        <w:rPr>
          <w:b/>
        </w:rPr>
        <w:t xml:space="preserve">Étape 2. </w:t>
      </w:r>
      <w:r>
        <w:t>L'application recalcule la prédiction et l'ajoute au journal.</w:t>
      </w:r>
    </w:p>
    <w:p>
      <w:pPr>
        <w:spacing w:after="80"/>
      </w:pPr>
      <w:r>
        <w:rPr>
          <w:b/>
        </w:rPr>
        <w:t xml:space="preserve">Étape 3. </w:t>
      </w:r>
      <w:r>
        <w:t>Le réglage du stimulateur est modifié sur l'appareil — cette opération se fait hors application.</w:t>
      </w:r>
    </w:p>
    <w:p>
      <w:pPr>
        <w:spacing w:after="80"/>
      </w:pPr>
      <w:r>
        <w:rPr>
          <w:b/>
        </w:rPr>
        <w:t xml:space="preserve">Étape 4. </w:t>
      </w:r>
      <w:r>
        <w:t>La séance suivante est enregistrée, et ainsi de suite.</w:t>
      </w:r>
    </w:p>
    <w:p>
      <w:pPr>
        <w:jc w:val="center"/>
      </w:pPr>
      <w:r>
        <w:drawing>
          <wp:inline xmlns:a="http://schemas.openxmlformats.org/drawingml/2006/main" xmlns:pic="http://schemas.openxmlformats.org/drawingml/2006/picture">
            <wp:extent cx="5400000" cy="3471429"/>
            <wp:docPr id="13" name="Picture 13"/>
            <wp:cNvGraphicFramePr>
              <a:graphicFrameLocks noChangeAspect="1"/>
            </wp:cNvGraphicFramePr>
            <a:graphic>
              <a:graphicData uri="http://schemas.openxmlformats.org/drawingml/2006/picture">
                <pic:pic>
                  <pic:nvPicPr>
                    <pic:cNvPr id="0" name="07_boucle.png"/>
                    <pic:cNvPicPr/>
                  </pic:nvPicPr>
                  <pic:blipFill>
                    <a:blip r:embed="rId21"/>
                    <a:stretch>
                      <a:fillRect/>
                    </a:stretch>
                  </pic:blipFill>
                  <pic:spPr>
                    <a:xfrm>
                      <a:off x="0" y="0"/>
                      <a:ext cx="5400000" cy="3471429"/>
                    </a:xfrm>
                    <a:prstGeom prst="rect"/>
                  </pic:spPr>
                </pic:pic>
              </a:graphicData>
            </a:graphic>
          </wp:inline>
        </w:drawing>
      </w:r>
    </w:p>
    <w:p>
      <w:pPr>
        <w:jc w:val="center"/>
      </w:pPr>
      <w:r>
        <w:rPr>
          <w:i/>
          <w:sz w:val="18"/>
        </w:rPr>
        <w:t>Figure : Boucle clinique, cohorte simulée</w:t>
      </w:r>
    </w:p>
    <w:p>
      <w:pPr>
        <w:pStyle w:val="Heading2"/>
      </w:pPr>
      <w:r>
        <w:rPr>
          <w:color w:val="1E3A8A"/>
        </w:rPr>
        <w:t>8.1 Enregistrer une séance</w:t>
      </w:r>
    </w:p>
    <w:p>
      <w:r>
        <w:t>Le formulaire est pré-rempli avec les paramètres de la séance précédente : il suffit de modifier ce qui a changé sur le stimulateur. Le signal peut être téléversé (fichier) ou généré à des fins de démonstration lorsqu'aucun matériel n'est connecté.</w:t>
      </w:r>
    </w:p>
    <w:p>
      <w:pPr>
        <w:spacing w:before="80" w:after="160"/>
      </w:pPr>
      <w:r>
        <w:rPr>
          <w:b/>
          <w:color w:val="B45309"/>
        </w:rPr>
        <w:t xml:space="preserve">Note : </w:t>
      </w:r>
      <w:r>
        <w:t>L'option « Générer (démonstration) » produit un signal synthétique. Elle sert uniquement à dérouler le cycle sans amplificateur ; elle ne constitue en aucun cas une donnée clinique.</w:t>
      </w:r>
    </w:p>
    <w:p>
      <w:pPr>
        <w:pStyle w:val="Heading2"/>
      </w:pPr>
      <w:r>
        <w:rPr>
          <w:color w:val="1E3A8A"/>
        </w:rPr>
        <w:t>8.2 Deux modes selon la cohorte</w:t>
      </w:r>
    </w:p>
    <w:p>
      <w:r>
        <w:t>Les deux cohortes acceptent la boucle, mais accumulent l'information différemment, car les deux modèles n'ont pas été entraînés sur le même axe.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Données simulées</w:t>
            </w:r>
          </w:p>
        </w:tc>
        <w:tc>
          <w:tcPr>
            <w:tcW w:type="dxa" w:w="2880"/>
          </w:tcPr>
          <w:p>
            <w:r/>
            <w:r>
              <w:rPr>
                <w:b/>
                <w:sz w:val="18"/>
              </w:rPr>
              <w:t>TDBRAIN</w:t>
            </w:r>
          </w:p>
        </w:tc>
      </w:tr>
      <w:tr>
        <w:tc>
          <w:tcPr>
            <w:tcW w:type="dxa" w:w="2880"/>
          </w:tcPr>
          <w:p>
            <w:r/>
            <w:r>
              <w:rPr>
                <w:sz w:val="18"/>
              </w:rPr>
              <w:t>Mode</w:t>
            </w:r>
          </w:p>
        </w:tc>
        <w:tc>
          <w:tcPr>
            <w:tcW w:type="dxa" w:w="2880"/>
          </w:tcPr>
          <w:p>
            <w:r/>
            <w:r>
              <w:rPr>
                <w:sz w:val="18"/>
              </w:rPr>
              <w:t>Séquentiel</w:t>
            </w:r>
          </w:p>
        </w:tc>
        <w:tc>
          <w:tcPr>
            <w:tcW w:type="dxa" w:w="2880"/>
          </w:tcPr>
          <w:p>
            <w:r/>
            <w:r>
              <w:rPr>
                <w:sz w:val="18"/>
              </w:rPr>
              <w:t>Instantané</w:t>
            </w:r>
          </w:p>
        </w:tc>
      </w:tr>
      <w:tr>
        <w:tc>
          <w:tcPr>
            <w:tcW w:type="dxa" w:w="2880"/>
          </w:tcPr>
          <w:p>
            <w:r/>
            <w:r>
              <w:rPr>
                <w:sz w:val="18"/>
              </w:rPr>
              <w:t>Entrée du modèle</w:t>
            </w:r>
          </w:p>
        </w:tc>
        <w:tc>
          <w:tcPr>
            <w:tcW w:type="dxa" w:w="2880"/>
          </w:tcPr>
          <w:p>
            <w:r/>
            <w:r>
              <w:rPr>
                <w:sz w:val="18"/>
              </w:rPr>
              <w:t>La suite des séances</w:t>
            </w:r>
          </w:p>
        </w:tc>
        <w:tc>
          <w:tcPr>
            <w:tcW w:type="dxa" w:w="2880"/>
          </w:tcPr>
          <w:p>
            <w:r/>
            <w:r>
              <w:rPr>
                <w:sz w:val="18"/>
              </w:rPr>
              <w:t>L'enregistrement de la séance seule</w:t>
            </w:r>
          </w:p>
        </w:tc>
      </w:tr>
      <w:tr>
        <w:tc>
          <w:tcPr>
            <w:tcW w:type="dxa" w:w="2880"/>
          </w:tcPr>
          <w:p>
            <w:r/>
            <w:r>
              <w:rPr>
                <w:sz w:val="18"/>
              </w:rPr>
              <w:t>Accumulation</w:t>
            </w:r>
          </w:p>
        </w:tc>
        <w:tc>
          <w:tcPr>
            <w:tcW w:type="dxa" w:w="2880"/>
          </w:tcPr>
          <w:p>
            <w:r/>
            <w:r>
              <w:rPr>
                <w:sz w:val="18"/>
              </w:rPr>
              <w:t>À l'intérieur du LSTM</w:t>
            </w:r>
          </w:p>
        </w:tc>
        <w:tc>
          <w:tcPr>
            <w:tcW w:type="dxa" w:w="2880"/>
          </w:tcPr>
          <w:p>
            <w:r/>
            <w:r>
              <w:rPr>
                <w:sz w:val="18"/>
              </w:rPr>
              <w:t>Au niveau clinique (tendance)</w:t>
            </w:r>
          </w:p>
        </w:tc>
      </w:tr>
      <w:tr>
        <w:tc>
          <w:tcPr>
            <w:tcW w:type="dxa" w:w="2880"/>
          </w:tcPr>
          <w:p>
            <w:r/>
            <w:r>
              <w:rPr>
                <w:sz w:val="18"/>
              </w:rPr>
              <w:t>Fichier attendu</w:t>
            </w:r>
          </w:p>
        </w:tc>
        <w:tc>
          <w:tcPr>
            <w:tcW w:type="dxa" w:w="2880"/>
          </w:tcPr>
          <w:p>
            <w:r/>
            <w:r>
              <w:rPr>
                <w:sz w:val="18"/>
              </w:rPr>
              <w:t>CSV ou NPY, un canal</w:t>
            </w:r>
          </w:p>
        </w:tc>
        <w:tc>
          <w:tcPr>
            <w:tcW w:type="dxa" w:w="2880"/>
          </w:tcPr>
          <w:p>
            <w:r/>
            <w:r>
              <w:rPr>
                <w:sz w:val="18"/>
              </w:rPr>
              <w:t>BDF ou CSV, 26 canaux + ECG</w:t>
            </w:r>
          </w:p>
        </w:tc>
      </w:tr>
    </w:tbl>
    <w:p/>
    <w:p>
      <w:r>
        <w:t>En mode instantané, chaque séance exige un nouvel enregistrement de repos d'au moins 64 secondes. Le fichier subit exactement le même prétraitement que les données d'entraînement, ce qui garantit que le modèle reçoit des valeurs comparables à celles qu'il a apprises.</w:t>
      </w:r>
    </w:p>
    <w:p>
      <w:pPr>
        <w:jc w:val="center"/>
      </w:pPr>
      <w:r>
        <w:drawing>
          <wp:inline xmlns:a="http://schemas.openxmlformats.org/drawingml/2006/main" xmlns:pic="http://schemas.openxmlformats.org/drawingml/2006/picture">
            <wp:extent cx="5400000" cy="3471429"/>
            <wp:docPr id="14" name="Picture 14"/>
            <wp:cNvGraphicFramePr>
              <a:graphicFrameLocks noChangeAspect="1"/>
            </wp:cNvGraphicFramePr>
            <a:graphic>
              <a:graphicData uri="http://schemas.openxmlformats.org/drawingml/2006/picture">
                <pic:pic>
                  <pic:nvPicPr>
                    <pic:cNvPr id="0" name="td_07_boucle.png"/>
                    <pic:cNvPicPr/>
                  </pic:nvPicPr>
                  <pic:blipFill>
                    <a:blip r:embed="rId22"/>
                    <a:stretch>
                      <a:fillRect/>
                    </a:stretch>
                  </pic:blipFill>
                  <pic:spPr>
                    <a:xfrm>
                      <a:off x="0" y="0"/>
                      <a:ext cx="5400000" cy="3471429"/>
                    </a:xfrm>
                    <a:prstGeom prst="rect"/>
                  </pic:spPr>
                </pic:pic>
              </a:graphicData>
            </a:graphic>
          </wp:inline>
        </w:drawing>
      </w:r>
    </w:p>
    <w:p>
      <w:pPr>
        <w:jc w:val="center"/>
      </w:pPr>
      <w:r>
        <w:rPr>
          <w:i/>
          <w:sz w:val="18"/>
        </w:rPr>
        <w:t>Figure : Boucle clinique en mode instantané (TDBRAIN)</w:t>
      </w:r>
    </w:p>
    <w:p>
      <w:pPr>
        <w:pStyle w:val="Heading2"/>
      </w:pPr>
      <w:r>
        <w:rPr>
          <w:color w:val="1E3A8A"/>
        </w:rPr>
        <w:t>8.3 Journal et recommandation</w:t>
      </w:r>
    </w:p>
    <w:p>
      <w:r>
        <w:t>Le graphique retrace l'évolution de la prédiction. Le journal associe à chaque séance les paramètres utilisés, la probabilité obtenue, l'écart avec la séance précédente et les réglages modifiés — ce qui permet de voir quel ajustement a produit quel effet.</w:t>
      </w:r>
    </w:p>
    <w:p>
      <w:r>
        <w:t>La recommandation indique la direction observée : conserver les paramètres, revenir aux précédents, ou constater un plateau.</w:t>
      </w:r>
    </w:p>
    <w:p>
      <w:pPr>
        <w:spacing w:before="80" w:after="160"/>
      </w:pPr>
      <w:r>
        <w:rPr>
          <w:b/>
          <w:color w:val="991B1B"/>
        </w:rPr>
        <w:t xml:space="preserve">Attention : </w:t>
      </w:r>
      <w:r>
        <w:t>La recommandation ne propose jamais un réglage chiffré. Aucune donnée de ce projet ne relie une intensité de stimulation à la réponse — la base TDBRAIN ne publie même pas la dose administrée. Le choix des paramètres reste une décision clinique.</w:t>
      </w:r>
    </w:p>
    <w:p>
      <w:r>
        <w:br w:type="page"/>
      </w:r>
    </w:p>
    <w:p>
      <w:pPr>
        <w:pStyle w:val="Heading1"/>
      </w:pPr>
      <w:r>
        <w:rPr>
          <w:color w:val="1E3A8A"/>
        </w:rPr>
        <w:t>9. Particularités de la cohorte réelle</w:t>
      </w:r>
    </w:p>
    <w:p>
      <w:pPr>
        <w:jc w:val="center"/>
      </w:pPr>
      <w:r>
        <w:drawing>
          <wp:inline xmlns:a="http://schemas.openxmlformats.org/drawingml/2006/main" xmlns:pic="http://schemas.openxmlformats.org/drawingml/2006/picture">
            <wp:extent cx="5400000" cy="3471429"/>
            <wp:docPr id="15" name="Picture 15"/>
            <wp:cNvGraphicFramePr>
              <a:graphicFrameLocks noChangeAspect="1"/>
            </wp:cNvGraphicFramePr>
            <a:graphic>
              <a:graphicData uri="http://schemas.openxmlformats.org/drawingml/2006/picture">
                <pic:pic>
                  <pic:nvPicPr>
                    <pic:cNvPr id="0" name="td_01_home.png"/>
                    <pic:cNvPicPr/>
                  </pic:nvPicPr>
                  <pic:blipFill>
                    <a:blip r:embed="rId23"/>
                    <a:stretch>
                      <a:fillRect/>
                    </a:stretch>
                  </pic:blipFill>
                  <pic:spPr>
                    <a:xfrm>
                      <a:off x="0" y="0"/>
                      <a:ext cx="5400000" cy="3471429"/>
                    </a:xfrm>
                    <a:prstGeom prst="rect"/>
                  </pic:spPr>
                </pic:pic>
              </a:graphicData>
            </a:graphic>
          </wp:inline>
        </w:drawing>
      </w:r>
    </w:p>
    <w:p>
      <w:pPr>
        <w:jc w:val="center"/>
      </w:pPr>
      <w:r>
        <w:rPr>
          <w:i/>
          <w:sz w:val="18"/>
        </w:rPr>
        <w:t>Figure : Accueil avec la cohorte TDBRAIN sélectionnée</w:t>
      </w:r>
    </w:p>
    <w:p>
      <w:pPr>
        <w:pStyle w:val="Heading2"/>
      </w:pPr>
      <w:r>
        <w:rPr>
          <w:color w:val="1E3A8A"/>
        </w:rPr>
        <w:t>9.1 Ce qui est réel, ce qui ne l'est pas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Statut</w:t>
            </w:r>
          </w:p>
        </w:tc>
      </w:tr>
      <w:tr>
        <w:tc>
          <w:tcPr>
            <w:tcW w:type="dxa" w:w="4320"/>
          </w:tcPr>
          <w:p>
            <w:r/>
            <w:r>
              <w:rPr>
                <w:sz w:val="18"/>
              </w:rPr>
              <w:t>EEG 26 canaux, dérivation ECG</w:t>
            </w:r>
          </w:p>
        </w:tc>
        <w:tc>
          <w:tcPr>
            <w:tcW w:type="dxa" w:w="4320"/>
          </w:tcPr>
          <w:p>
            <w:r/>
            <w:r>
              <w:rPr>
                <w:sz w:val="18"/>
              </w:rPr>
              <w:t>Réel (mesuré)</w:t>
            </w:r>
          </w:p>
        </w:tc>
      </w:tr>
      <w:tr>
        <w:tc>
          <w:tcPr>
            <w:tcW w:type="dxa" w:w="4320"/>
          </w:tcPr>
          <w:p>
            <w:r/>
            <w:r>
              <w:rPr>
                <w:sz w:val="18"/>
              </w:rPr>
              <w:t>Scores BDI-II avant / après</w:t>
            </w:r>
          </w:p>
        </w:tc>
        <w:tc>
          <w:tcPr>
            <w:tcW w:type="dxa" w:w="4320"/>
          </w:tcPr>
          <w:p>
            <w:r/>
            <w:r>
              <w:rPr>
                <w:sz w:val="18"/>
              </w:rPr>
              <w:t>Réels</w:t>
            </w:r>
          </w:p>
        </w:tc>
      </w:tr>
      <w:tr>
        <w:tc>
          <w:tcPr>
            <w:tcW w:type="dxa" w:w="4320"/>
          </w:tcPr>
          <w:p>
            <w:r/>
            <w:r>
              <w:rPr>
                <w:sz w:val="18"/>
              </w:rPr>
              <w:t>Étiquette répondeur</w:t>
            </w:r>
          </w:p>
        </w:tc>
        <w:tc>
          <w:tcPr>
            <w:tcW w:type="dxa" w:w="4320"/>
          </w:tcPr>
          <w:p>
            <w:r/>
            <w:r>
              <w:rPr>
                <w:sz w:val="18"/>
              </w:rPr>
              <w:t>Réelle (réduction ≥ 50 %)</w:t>
            </w:r>
          </w:p>
        </w:tc>
      </w:tr>
      <w:tr>
        <w:tc>
          <w:tcPr>
            <w:tcW w:type="dxa" w:w="4320"/>
          </w:tcPr>
          <w:p>
            <w:r/>
            <w:r>
              <w:rPr>
                <w:sz w:val="18"/>
              </w:rPr>
              <w:t>Âge, sexe</w:t>
            </w:r>
          </w:p>
        </w:tc>
        <w:tc>
          <w:tcPr>
            <w:tcW w:type="dxa" w:w="4320"/>
          </w:tcPr>
          <w:p>
            <w:r/>
            <w:r>
              <w:rPr>
                <w:sz w:val="18"/>
              </w:rPr>
              <w:t>Réels</w:t>
            </w:r>
          </w:p>
        </w:tc>
      </w:tr>
      <w:tr>
        <w:tc>
          <w:tcPr>
            <w:tcW w:type="dxa" w:w="4320"/>
          </w:tcPr>
          <w:p>
            <w:r/>
            <w:r>
              <w:rPr>
                <w:sz w:val="18"/>
              </w:rPr>
              <w:t>Protocole rTMS (fréquence, site)</w:t>
            </w:r>
          </w:p>
        </w:tc>
        <w:tc>
          <w:tcPr>
            <w:tcW w:type="dxa" w:w="4320"/>
          </w:tcPr>
          <w:p>
            <w:r/>
            <w:r>
              <w:rPr>
                <w:sz w:val="18"/>
              </w:rPr>
              <w:t>Réel</w:t>
            </w:r>
          </w:p>
        </w:tc>
      </w:tr>
      <w:tr>
        <w:tc>
          <w:tcPr>
            <w:tcW w:type="dxa" w:w="4320"/>
          </w:tcPr>
          <w:p>
            <w:r/>
            <w:r>
              <w:rPr>
                <w:sz w:val="18"/>
              </w:rPr>
              <w:t>Intensité, trains, intervalle</w:t>
            </w:r>
          </w:p>
        </w:tc>
        <w:tc>
          <w:tcPr>
            <w:tcW w:type="dxa" w:w="4320"/>
          </w:tcPr>
          <w:p>
            <w:r/>
            <w:r>
              <w:rPr>
                <w:sz w:val="18"/>
              </w:rPr>
              <w:t>Non publiés — affichés « — »</w:t>
            </w:r>
          </w:p>
        </w:tc>
      </w:tr>
      <w:tr>
        <w:tc>
          <w:tcPr>
            <w:tcW w:type="dxa" w:w="4320"/>
          </w:tcPr>
          <w:p>
            <w:r/>
            <w:r>
              <w:rPr>
                <w:sz w:val="18"/>
              </w:rPr>
              <w:t>« Époques »</w:t>
            </w:r>
          </w:p>
        </w:tc>
        <w:tc>
          <w:tcPr>
            <w:tcW w:type="dxa" w:w="4320"/>
          </w:tcPr>
          <w:p>
            <w:r/>
            <w:r>
              <w:rPr>
                <w:sz w:val="18"/>
              </w:rPr>
              <w:t>Fenêtres d'un enregistrement unique, pas des séances</w:t>
            </w:r>
          </w:p>
        </w:tc>
      </w:tr>
    </w:tbl>
    <w:p/>
    <w:p>
      <w:pPr>
        <w:pStyle w:val="Heading2"/>
      </w:pPr>
      <w:r>
        <w:rPr>
          <w:color w:val="1E3A8A"/>
        </w:rPr>
        <w:t>9.2 Le résultat obtenu, et comment le présenter</w:t>
      </w:r>
    </w:p>
    <w:p>
      <w:r>
        <w:t>Sur la cohorte réelle, la prédiction de la réponse au rTMS se situe au niveau du hasard : l'AUC mesurée se situe entre 0,47 et 0,52 selon les variantes, et l'exactitude reste égale au taux de base de la cohorte. L'ajout de la modalité ECG ne change pas cette conclusion.</w:t>
      </w:r>
    </w:p>
    <w:p>
      <w:r>
        <w:t>Ce résultat n'est pas un défaut de l'application. Il s'explique par la nature des données : un unique enregistrement de repos réalisé avant traitement ne contient pas, à lui seul, l'information nécessaire pour anticiper la réponse. C'est un résultat négatif honnête, cohérent avec la littérature, et il doit être présenté comme tel plutôt que masqué.</w:t>
      </w:r>
    </w:p>
    <w:p>
      <w:pPr>
        <w:spacing w:before="80" w:after="160"/>
      </w:pPr>
      <w:r>
        <w:rPr>
          <w:b/>
          <w:color w:val="B45309"/>
        </w:rPr>
        <w:t xml:space="preserve">Note : </w:t>
      </w:r>
      <w:r>
        <w:t>À titre de comparaison, la même chaîne de traitement appliquée à une tâche différente — distinguer patients dépressifs et sujets sains — atteint une AUC nettement supérieure. Le problème vient donc bien de la tâche visée, non de la chaîne de traitement.</w:t>
      </w:r>
    </w:p>
    <w:p>
      <w:pPr>
        <w:pStyle w:val="Heading1"/>
      </w:pPr>
      <w:r>
        <w:rPr>
          <w:color w:val="1E3A8A"/>
        </w:rPr>
        <w:t>10. Parcours conseillé pour une démonstration</w:t>
      </w:r>
    </w:p>
    <w:p>
      <w:pPr>
        <w:spacing w:after="80"/>
      </w:pPr>
      <w:r>
        <w:rPr>
          <w:b/>
        </w:rPr>
        <w:t xml:space="preserve">Étape 1. </w:t>
      </w:r>
      <w:r>
        <w:t>Accueil : vérifier la source sélectionnée et l'état de la base.</w:t>
      </w:r>
    </w:p>
    <w:p>
      <w:pPr>
        <w:spacing w:after="80"/>
      </w:pPr>
      <w:r>
        <w:rPr>
          <w:b/>
        </w:rPr>
        <w:t xml:space="preserve">Étape 2. </w:t>
      </w:r>
      <w:r>
        <w:t>Patients : ouvrir un patient, montrer son historique clinique.</w:t>
      </w:r>
    </w:p>
    <w:p>
      <w:pPr>
        <w:spacing w:after="80"/>
      </w:pPr>
      <w:r>
        <w:rPr>
          <w:b/>
        </w:rPr>
        <w:t xml:space="preserve">Étape 3. </w:t>
      </w:r>
      <w:r>
        <w:t>Sessions : montrer les paramètres rTMS, un canal EEG, puis — sur TDBRAIN — le tachogramme RR et les métriques HRV.</w:t>
      </w:r>
    </w:p>
    <w:p>
      <w:pPr>
        <w:spacing w:after="80"/>
      </w:pPr>
      <w:r>
        <w:rPr>
          <w:b/>
        </w:rPr>
        <w:t xml:space="preserve">Étape 4. </w:t>
      </w:r>
      <w:r>
        <w:t>Training : lancer une validation croisée et commenter les trois indicateurs.</w:t>
      </w:r>
    </w:p>
    <w:p>
      <w:pPr>
        <w:spacing w:after="80"/>
      </w:pPr>
      <w:r>
        <w:rPr>
          <w:b/>
        </w:rPr>
        <w:t xml:space="preserve">Étape 5. </w:t>
      </w:r>
      <w:r>
        <w:t>Predictions : produire une prédiction et la confronter à l'issue réelle du patient.</w:t>
      </w:r>
    </w:p>
    <w:p>
      <w:pPr>
        <w:spacing w:after="80"/>
      </w:pPr>
      <w:r>
        <w:rPr>
          <w:b/>
        </w:rPr>
        <w:t xml:space="preserve">Étape 6. </w:t>
      </w:r>
      <w:r>
        <w:t>Suivi : montrer la synthèse sur l'ensemble des séances.</w:t>
      </w:r>
    </w:p>
    <w:p>
      <w:pPr>
        <w:spacing w:after="80"/>
      </w:pPr>
      <w:r>
        <w:rPr>
          <w:b/>
        </w:rPr>
        <w:t xml:space="preserve">Étape 7. </w:t>
      </w:r>
      <w:r>
        <w:t>Boucle clinique : enregistrer une séance et montrer la prédiction se mettre à jour.</w:t>
      </w:r>
    </w:p>
    <w:p>
      <w:r>
        <w:t>Basculer entre les deux cohortes au moment de l'étape 3 met en évidence la différence de nature des données, qui est le point clé du projet.</w:t>
      </w:r>
    </w:p>
    <w:p>
      <w:pPr>
        <w:pStyle w:val="Heading1"/>
      </w:pPr>
      <w:r>
        <w:rPr>
          <w:color w:val="1E3A8A"/>
        </w:rPr>
        <w:t>11. Messages fréquents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Message affiché</w:t>
            </w:r>
          </w:p>
        </w:tc>
        <w:tc>
          <w:tcPr>
            <w:tcW w:type="dxa" w:w="2880"/>
          </w:tcPr>
          <w:p>
            <w:r/>
            <w:r>
              <w:rPr>
                <w:b/>
                <w:sz w:val="18"/>
              </w:rPr>
              <w:t>Signification</w:t>
            </w:r>
          </w:p>
        </w:tc>
        <w:tc>
          <w:tcPr>
            <w:tcW w:type="dxa" w:w="2880"/>
          </w:tcPr>
          <w:p>
            <w:r/>
            <w:r>
              <w:rPr>
                <w:b/>
                <w:sz w:val="18"/>
              </w:rPr>
              <w:t>Que faire</w:t>
            </w:r>
          </w:p>
        </w:tc>
      </w:tr>
      <w:tr>
        <w:tc>
          <w:tcPr>
            <w:tcW w:type="dxa" w:w="2880"/>
          </w:tcPr>
          <w:p>
            <w:r/>
            <w:r>
              <w:rPr>
                <w:sz w:val="18"/>
              </w:rPr>
              <w:t>Aucun patient en base</w:t>
            </w:r>
          </w:p>
        </w:tc>
        <w:tc>
          <w:tcPr>
            <w:tcW w:type="dxa" w:w="2880"/>
          </w:tcPr>
          <w:p>
            <w:r/>
            <w:r>
              <w:rPr>
                <w:sz w:val="18"/>
              </w:rPr>
              <w:t>La cohorte n'a pas été chargée</w:t>
            </w:r>
          </w:p>
        </w:tc>
        <w:tc>
          <w:tcPr>
            <w:tcW w:type="dxa" w:w="2880"/>
          </w:tcPr>
          <w:p>
            <w:r/>
            <w:r>
              <w:rPr>
                <w:sz w:val="18"/>
              </w:rPr>
              <w:t>Accueil : « Initialiser avec les données simulées »</w:t>
            </w:r>
          </w:p>
        </w:tc>
      </w:tr>
      <w:tr>
        <w:tc>
          <w:tcPr>
            <w:tcW w:type="dxa" w:w="2880"/>
          </w:tcPr>
          <w:p>
            <w:r/>
            <w:r>
              <w:rPr>
                <w:sz w:val="18"/>
              </w:rPr>
              <w:t>Aucun modèle entraîné pour cette source</w:t>
            </w:r>
          </w:p>
        </w:tc>
        <w:tc>
          <w:tcPr>
            <w:tcW w:type="dxa" w:w="2880"/>
          </w:tcPr>
          <w:p>
            <w:r/>
            <w:r>
              <w:rPr>
                <w:sz w:val="18"/>
              </w:rPr>
              <w:t>Aucun modèle n'existe encore</w:t>
            </w:r>
          </w:p>
        </w:tc>
        <w:tc>
          <w:tcPr>
            <w:tcW w:type="dxa" w:w="2880"/>
          </w:tcPr>
          <w:p>
            <w:r/>
            <w:r>
              <w:rPr>
                <w:sz w:val="18"/>
              </w:rPr>
              <w:t>Page Training, onglet « Modèle final »</w:t>
            </w:r>
          </w:p>
        </w:tc>
      </w:tr>
      <w:tr>
        <w:tc>
          <w:tcPr>
            <w:tcW w:type="dxa" w:w="2880"/>
          </w:tcPr>
          <w:p>
            <w:r/>
            <w:r>
              <w:rPr>
                <w:sz w:val="18"/>
              </w:rPr>
              <w:t>Les données en base ne correspondent pas au modèle</w:t>
            </w:r>
          </w:p>
        </w:tc>
        <w:tc>
          <w:tcPr>
            <w:tcW w:type="dxa" w:w="2880"/>
          </w:tcPr>
          <w:p>
            <w:r/>
            <w:r>
              <w:rPr>
                <w:sz w:val="18"/>
              </w:rPr>
              <w:t>Base et modèle TDBRAIN désynchronisés</w:t>
            </w:r>
          </w:p>
        </w:tc>
        <w:tc>
          <w:tcPr>
            <w:tcW w:type="dxa" w:w="2880"/>
          </w:tcPr>
          <w:p>
            <w:r/>
            <w:r>
              <w:rPr>
                <w:sz w:val="18"/>
              </w:rPr>
              <w:t>Recharger la cohorte et réentraîner (Guide d'installation, étape 8)</w:t>
            </w:r>
          </w:p>
        </w:tc>
      </w:tr>
      <w:tr>
        <w:tc>
          <w:tcPr>
            <w:tcW w:type="dxa" w:w="2880"/>
          </w:tcPr>
          <w:p>
            <w:r/>
            <w:r>
              <w:rPr>
                <w:sz w:val="18"/>
              </w:rPr>
              <w:t>Pas de trajectoire clinique</w:t>
            </w:r>
          </w:p>
        </w:tc>
        <w:tc>
          <w:tcPr>
            <w:tcW w:type="dxa" w:w="2880"/>
          </w:tcPr>
          <w:p>
            <w:r/>
            <w:r>
              <w:rPr>
                <w:sz w:val="18"/>
              </w:rPr>
              <w:t>Comportement normal sur TDBRAIN</w:t>
            </w:r>
          </w:p>
        </w:tc>
        <w:tc>
          <w:tcPr>
            <w:tcW w:type="dxa" w:w="2880"/>
          </w:tcPr>
          <w:p>
            <w:r/>
            <w:r>
              <w:rPr>
                <w:sz w:val="18"/>
              </w:rPr>
              <w:t>Aucune action : il n'existe qu'un enregistrement avant traitement</w:t>
            </w:r>
          </w:p>
        </w:tc>
      </w:tr>
      <w:tr>
        <w:tc>
          <w:tcPr>
            <w:tcW w:type="dxa" w:w="2880"/>
          </w:tcPr>
          <w:p>
            <w:r/>
            <w:r>
              <w:rPr>
                <w:sz w:val="18"/>
              </w:rPr>
              <w:t>— (non publié)</w:t>
            </w:r>
          </w:p>
        </w:tc>
        <w:tc>
          <w:tcPr>
            <w:tcW w:type="dxa" w:w="2880"/>
          </w:tcPr>
          <w:p>
            <w:r/>
            <w:r>
              <w:rPr>
                <w:sz w:val="18"/>
              </w:rPr>
              <w:t>Donnée absente de la base source</w:t>
            </w:r>
          </w:p>
        </w:tc>
        <w:tc>
          <w:tcPr>
            <w:tcW w:type="dxa" w:w="2880"/>
          </w:tcPr>
          <w:p>
            <w:r/>
            <w:r>
              <w:rPr>
                <w:sz w:val="18"/>
              </w:rPr>
              <w:t>Aucune action : la valeur n'est volontairement pas inventée</w:t>
            </w:r>
          </w:p>
        </w:tc>
      </w:tr>
      <w:tr>
        <w:tc>
          <w:tcPr>
            <w:tcW w:type="dxa" w:w="2880"/>
          </w:tcPr>
          <w:p>
            <w:r/>
            <w:r>
              <w:rPr>
                <w:sz w:val="18"/>
              </w:rPr>
              <w:t>appartient à la cohorte de recherche TDBRAIN</w:t>
            </w:r>
          </w:p>
        </w:tc>
        <w:tc>
          <w:tcPr>
            <w:tcW w:type="dxa" w:w="2880"/>
          </w:tcPr>
          <w:p>
            <w:r/>
            <w:r>
              <w:rPr>
                <w:sz w:val="18"/>
              </w:rPr>
              <w:t>Ce patient n'a pas de séance de traitement</w:t>
            </w:r>
          </w:p>
        </w:tc>
        <w:tc>
          <w:tcPr>
            <w:tcW w:type="dxa" w:w="2880"/>
          </w:tcPr>
          <w:p>
            <w:r/>
            <w:r>
              <w:rPr>
                <w:sz w:val="18"/>
              </w:rPr>
              <w:t>Créer un nouveau patient pour démarrer une boucle clinique</w:t>
            </w:r>
          </w:p>
        </w:tc>
      </w:tr>
      <w:tr>
        <w:tc>
          <w:tcPr>
            <w:tcW w:type="dxa" w:w="2880"/>
          </w:tcPr>
          <w:p>
            <w:r/>
            <w:r>
              <w:rPr>
                <w:sz w:val="18"/>
              </w:rPr>
              <w:t>Enregistrement trop court</w:t>
            </w:r>
          </w:p>
        </w:tc>
        <w:tc>
          <w:tcPr>
            <w:tcW w:type="dxa" w:w="2880"/>
          </w:tcPr>
          <w:p>
            <w:r/>
            <w:r>
              <w:rPr>
                <w:sz w:val="18"/>
              </w:rPr>
              <w:t>Le fichier fourni dure moins de 64 secondes</w:t>
            </w:r>
          </w:p>
        </w:tc>
        <w:tc>
          <w:tcPr>
            <w:tcW w:type="dxa" w:w="2880"/>
          </w:tcPr>
          <w:p>
            <w:r/>
            <w:r>
              <w:rPr>
                <w:sz w:val="18"/>
              </w:rPr>
              <w:t>Fournir un enregistrement plus long</w:t>
            </w:r>
          </w:p>
        </w:tc>
      </w:tr>
    </w:tbl>
    <w:p/>
    <w:p/>
    <w:p>
      <w:r>
        <w:rPr>
          <w:i/>
          <w:sz w:val="20"/>
        </w:rPr>
        <w:t>Pour toute question d'installation ou de mise à jour des données, se reporter au « Guide d'installation ».</w:t>
      </w:r>
    </w:p>
    <w:p/>
    <w:p>
      <w:pPr>
        <w:pStyle w:val="Heading2"/>
      </w:pPr>
      <w:r>
        <w:rPr>
          <w:color w:val="1E3A8A"/>
        </w:rPr>
        <w:t>Régénérer ce document</w:t>
      </w:r>
    </w:p>
    <w:p>
      <w:pPr>
        <w:spacing w:after="40"/>
        <w:ind w:left="283"/>
      </w:pPr>
      <w:r>
        <w:rPr>
          <w:rFonts w:ascii="Consolas" w:hAnsi="Consolas"/>
          <w:color w:val="333333"/>
          <w:sz w:val="20"/>
        </w:rPr>
        <w:t>streamlit run src/app/main.py --server.headless true --server.port 8765</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