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Améliorations méthodologiques</w:t>
      </w:r>
    </w:p>
    <w:p>
      <w:pPr>
        <w:jc w:val="center"/>
      </w:pPr>
      <w:r>
        <w:rPr>
          <w:sz w:val="28"/>
        </w:rPr>
        <w:t>Prédiction de la réponse au rTMS à partir d'un EEG de repos unique</w:t>
      </w:r>
    </w:p>
    <w:p>
      <w:pPr>
        <w:jc w:val="center"/>
      </w:pPr>
      <w:r>
        <w:rPr>
          <w:i/>
          <w:sz w:val="22"/>
        </w:rPr>
        <w:t>PFE 2026 — NeuroRéponse — comparaison à l'étude de référence PMC12981298</w:t>
      </w:r>
    </w:p>
    <w:p/>
    <w:p>
      <w:r>
        <w:rPr>
          <w:i/>
        </w:rPr>
        <w:t>Note méthodologique destinée à un lecteur non informaticien. Elle expose ce qui a été modifié par rapport à l'étude de référence, pourquoi, et ce que les résultats obtenus permettent — ou ne permettent pas — de conclure.</w:t>
      </w:r>
    </w:p>
    <w:p>
      <w:r>
        <w:br w:type="page"/>
      </w:r>
    </w:p>
    <w:p>
      <w:pPr>
        <w:pStyle w:val="Heading1"/>
      </w:pPr>
      <w:r>
        <w:rPr>
          <w:color w:val="1E3A8A"/>
        </w:rPr>
        <w:t>Résumé</w:t>
      </w:r>
    </w:p>
    <w:p>
      <w:r>
        <w:rPr>
          <w:i w:val="0"/>
        </w:rPr>
        <w:t>Ce travail prédit la réponse d'un patient dépressif à une cure de stimulation magnétique transcrânienne répétitive (rTMS) à partir d'un unique enregistrement électroencéphalographique (EEG) de repos, réalisé avant le début du traitement. Il s'appuie sur la cohorte publique TDBRAIN et prend pour référence l'étude d'Arteaga et al. (PMC12981298), qui exploite les mêmes données.</w:t>
      </w:r>
    </w:p>
    <w:p>
      <w:r>
        <w:rPr>
          <w:i w:val="0"/>
        </w:rPr>
        <w:t>Notre première implémentation, fondée sur un réseau de neurones récurrent (LSTM), produisait une corrélation négative — autrement dit, aucune prédiction exploitable. L'analyse de cet échec a montré que la cause n'était pas l'absence de signal dans les données, mais un choix de modèle inadapté à la taille de la cohorte. Le remplacement du réseau de neurones par une régression linéaire régularisée, appliquée aux mêmes variables, porte la corrélation de −0,373 à +0,571 sur les 44 patients du protocole 1 — au-delà du 0,401 rapporté par l'étude de référence sur exactement les mêmes patients.</w:t>
      </w:r>
    </w:p>
    <w:p>
      <w:r>
        <w:rPr>
          <w:i w:val="0"/>
        </w:rPr>
        <w:t>Au-delà de ce gain, la contribution méthodologique principale de ce travail est le contrôle d'un facteur de confusion que l'étude de référence ne rapporte pas : la sévérité dépressive initiale du patient prédit à elle seule l'issue du traitement aussi bien que le modèle EEG publié. Nous montrons que notre résultat survit au retrait de ce facteur, ce qui n'a pas été établi pour le résultat de référence.</w:t>
      </w:r>
    </w:p>
    <w:p>
      <w:pPr>
        <w:pStyle w:val="Heading1"/>
      </w:pPr>
      <w:r>
        <w:rPr>
          <w:color w:val="1E3A8A"/>
        </w:rPr>
        <w:t>1. Contexte et question de recherche</w:t>
      </w:r>
    </w:p>
    <w:p>
      <w:r>
        <w:rPr>
          <w:i w:val="0"/>
        </w:rPr>
        <w:t>La rTMS est un traitement de la dépression résistante. Elle est efficace chez une partie seulement des patients, et l'on ne sait pas déterminer à l'avance lesquels. Une cure représente plusieurs semaines de séances quotidiennes : orienter dès l'admission un patient non répondeur vers une autre stratégie thérapeutique aurait une valeur clinique directe.</w:t>
      </w:r>
    </w:p>
    <w:p>
      <w:r>
        <w:rPr>
          <w:i w:val="0"/>
        </w:rPr>
        <w:t>La question posée est donc la suivante : à partir d'un examen EEG de repos réalisé avant traitement, peut-on prédire l'amélioration clinique qui sera observée à l'issue de la cure ? L'amélioration est mesurée par la variation du score BDI-II (Beck Depression Inventory), un questionnaire standardisé d'évaluation de la dépression.</w:t>
      </w:r>
    </w:p>
    <w:p>
      <w:pPr>
        <w:spacing w:before="80" w:after="160"/>
      </w:pPr>
      <w:r>
        <w:rPr>
          <w:b/>
          <w:color w:val="B45309"/>
        </w:rPr>
        <w:t xml:space="preserve">Note : </w:t>
      </w:r>
      <w:r>
        <w:t>cette question porte sur une prédiction faite une seule fois, avant le traitement. Elle est distincte du suivi séance par séance, qui relève d'un autre volet de ce projet et repose sur d'autres données.</w:t>
      </w:r>
    </w:p>
    <w:p>
      <w:pPr>
        <w:pStyle w:val="Heading1"/>
      </w:pPr>
      <w:r>
        <w:rPr>
          <w:color w:val="1E3A8A"/>
        </w:rPr>
        <w:t>2. L'étude de référence</w:t>
      </w:r>
    </w:p>
    <w:p>
      <w:r>
        <w:rPr>
          <w:i w:val="0"/>
        </w:rPr>
        <w:t>Arteaga et al. (PMC12981298) traitent la même question sur la même cohorte TDBRAIN. Leur protocole présente trois caractéristiques que nous avons reprises à l'identique, afin que les résultats soient comparables :</w:t>
      </w:r>
    </w:p>
    <w:p>
      <w:pPr>
        <w:pStyle w:val="ListBullet"/>
      </w:pPr>
      <w:r>
        <w:t>la cible prédite est continue — la variation du score BDI-II en points — et non une classe « répondeur / non-répondeur » ;</w:t>
      </w:r>
    </w:p>
    <w:p>
      <w:pPr>
        <w:pStyle w:val="ListBullet"/>
      </w:pPr>
      <w:r>
        <w:t>un modèle distinct est ajusté pour chacun des deux protocoles de stimulation, qui sont deux traitements différents (10 Hz sur le cortex préfrontal gauche ; 1 Hz sur le droit) ;</w:t>
      </w:r>
    </w:p>
    <w:p>
      <w:pPr>
        <w:pStyle w:val="ListBullet"/>
      </w:pPr>
      <w:r>
        <w:t>la performance est mesurée par le coefficient de corrélation de Pearson entre valeurs prédites et valeurs observées.</w:t>
      </w:r>
    </w:p>
    <w:p>
      <w:r>
        <w:rPr>
          <w:i w:val="0"/>
        </w:rPr>
        <w:t>Les résultats publiés sont r = 0,401 pour le protocole 1 et r = 0,26 pour le protocole 2. Leur extraction de variables repose sur une décomposition modale itérative (itEMD) suivie de filtres spatiaux appris (SBLEST).</w:t>
      </w:r>
    </w:p>
    <w:p>
      <w:pPr>
        <w:spacing w:after="120"/>
        <w:ind w:left="360"/>
      </w:pPr>
      <w:r>
        <w:rPr>
          <w:b/>
        </w:rPr>
        <w:t xml:space="preserve">Coefficient de corrélation r — </w:t>
      </w:r>
      <w:r>
        <w:t>mesure comprise entre −1 et +1 le degré d'accord entre ce que le modèle prédit et ce qui est réellement observé. Zéro signifie aucun lien ; +1 un accord parfait ; une valeur négative signifie que le modèle se trompe de sens. En recherche clinique sur petits effectifs, une valeur autour de 0,4 est considérée comme un résultat notable.</w:t>
      </w:r>
    </w:p>
    <w:p>
      <w:r>
        <w:br w:type="page"/>
      </w:r>
    </w:p>
    <w:p>
      <w:pPr>
        <w:pStyle w:val="Heading1"/>
      </w:pPr>
      <w:r>
        <w:rPr>
          <w:color w:val="1E3A8A"/>
        </w:rPr>
        <w:t>3. Position du problème</w:t>
      </w:r>
    </w:p>
    <w:p>
      <w:r>
        <w:rPr>
          <w:i w:val="0"/>
        </w:rPr>
        <w:t>Notre implémentation initiale reproduisait le protocole de l'article mais obtenait r = −0,373 sur le protocole 1, c'est-à-dire un résultat sans valeur prédictive. Trois causes distinctes ont été identifiées.</w:t>
      </w:r>
    </w:p>
    <w:p>
      <w:pPr>
        <w:pStyle w:val="Heading2"/>
      </w:pPr>
      <w:r>
        <w:rPr>
          <w:color w:val="1E3A8A"/>
        </w:rPr>
        <w:t>3.1 Un modèle surdimensionné pour l'effectif disponible</w:t>
      </w:r>
    </w:p>
    <w:p>
      <w:r>
        <w:rPr>
          <w:i w:val="0"/>
        </w:rPr>
        <w:t>Le réseau de neurones récurrent employé comportait 182 849 paramètres ajustables, pour 44 patients — soit environ 4 150 paramètres par patient. Un modèle de cette taille ne peut pas être estimé sur un tel effectif : il s'effondre sur la valeur moyenne de la cohorte et prédit approximativement la même valeur pour tout le monde. L'écart-type des prédictions était de 0,1 à 0,9 point de BDI-II, contre 12,75 points pour la variable à prédire — le modèle n'exprimait donc presque aucune variation d'un patient à l'autre.</w:t>
      </w:r>
    </w:p>
    <w:p>
      <w:r>
        <w:rPr>
          <w:i w:val="0"/>
        </w:rPr>
        <w:t>Un point technique mérite d'être souligné, car il a longtemps masqué le diagnostic : un modèle qui prédit une constante ne produit pas une corrélation nulle en validation croisée, mais une corrélation systématiquement négative. Les valeurs négatives observées n'étaient donc pas la preuve d'une absence de signal dans les données ; elles étaient la signature d'un modèle effondré.</w:t>
      </w:r>
    </w:p>
    <w:p>
      <w:pPr>
        <w:pStyle w:val="Heading2"/>
      </w:pPr>
      <w:r>
        <w:rPr>
          <w:color w:val="1E3A8A"/>
        </w:rPr>
        <w:t>3.2 Un facteur de confusion non contrôlé</w:t>
      </w:r>
    </w:p>
    <w:p>
      <w:r>
        <w:rPr>
          <w:i w:val="0"/>
        </w:rPr>
        <w:t>La variable à prédire — le nombre de points de BDI-II gagnés — est mathématiquement liée au score de départ : on ne peut pas gagner 40 points lorsqu'on part d'un score de 20. Il en résulte que le score d'admission prédit à lui seul l'amélioration, sans aucun EEG et sans aucun modèle.</w:t>
      </w:r>
    </w:p>
    <w:p>
      <w:r>
        <w:rPr>
          <w:i w:val="0"/>
        </w:rPr>
        <w:t>Sur cette cohorte, cette prédiction triviale atteint r = 0,500 pour le protocole 1, avec un intervalle de confiance de [0,258 ; 0,700]. Cet intervalle contient la valeur 0,401 publiée par l'étude de référence : son résultat n'est donc pas distinguable d'une variable qui ne nécessite ni examen ni modélisation. L'article ne rapporte pas cette comparaison.</w:t>
      </w:r>
    </w:p>
    <w:p>
      <w:pPr>
        <w:spacing w:before="80" w:after="160"/>
      </w:pPr>
      <w:r>
        <w:rPr>
          <w:b/>
          <w:color w:val="991B1B"/>
        </w:rPr>
        <w:t xml:space="preserve">Attention : </w:t>
      </w:r>
      <w:r>
        <w:t>cette observation ne constitue pas une réfutation de l'étude de référence. Elle établit qu'une comparaison indispensable n'y figure pas, et que toute publication ultérieure — la nôtre comprise — doit la fournir.</w:t>
      </w:r>
    </w:p>
    <w:p>
      <w:pPr>
        <w:pStyle w:val="Heading2"/>
      </w:pPr>
      <w:r>
        <w:rPr>
          <w:color w:val="1E3A8A"/>
        </w:rPr>
        <w:t>3.3 Une fuite méthodologique dans la validation croisée</w:t>
      </w:r>
    </w:p>
    <w:p>
      <w:r>
        <w:rPr>
          <w:i w:val="0"/>
        </w:rPr>
        <w:t>L'arrêt précoce de l'entraînement était piloté par le groupe de patients servant ensuite à l'évaluation. Chaque modèle était donc sélectionné sur les patients mêmes sur lesquels il était noté. Conjuguée à un modèle quasi constant, cette fuite ajustait la valeur émise vers la moyenne du groupe évalué et produisait une corrélation de 0,61 y compris sur des étiquettes aléatoires — un résultat qui semblait, un temps, dépasser l'étude de référence.</w:t>
      </w:r>
    </w:p>
    <w:p>
      <w:r>
        <w:br w:type="page"/>
      </w:r>
    </w:p>
    <w:p>
      <w:pPr>
        <w:pStyle w:val="Heading1"/>
      </w:pPr>
      <w:r>
        <w:rPr>
          <w:color w:val="1E3A8A"/>
        </w:rPr>
        <w:t>4. Améliorations apportées</w:t>
      </w:r>
    </w:p>
    <w:p>
      <w:pPr>
        <w:pStyle w:val="Heading2"/>
      </w:pPr>
      <w:r>
        <w:rPr>
          <w:color w:val="1E3A8A"/>
        </w:rPr>
        <w:t>4.1 Changement de classe de modèle</w:t>
      </w:r>
    </w:p>
    <w:p>
      <w:r>
        <w:rPr>
          <w:i w:val="0"/>
        </w:rPr>
        <w:t>Le réseau récurrent a été remplacé par une régression linéaire régularisée (régression ridge), dont le paramètre de régularisation est choisi à l'intérieur de chaque groupe d'entraînement. Ce choix est motivé par la structure des données : l'enregistrement de repos est découpé en fenêtres temporelles interchangeables, sans ordre chronologique signifiant. Il n'existe donc aucune dynamique temporelle qu'un réseau récurrent puisse exploiter, et sa complexité est un coût sans contrepartie.</w:t>
      </w:r>
    </w:p>
    <w:p>
      <w:pPr>
        <w:spacing w:before="80" w:after="160"/>
      </w:pPr>
      <w:r>
        <w:rPr>
          <w:b/>
          <w:color w:val="B45309"/>
        </w:rPr>
        <w:t xml:space="preserve">Note : </w:t>
      </w:r>
      <w:r>
        <w:t>les variables d'entrée sont rigoureusement les mêmes qu'auparavant — 130 mesures de puissance spectrale, soit 26 électrodes × 5 bandes de fréquence. Seule la famille de modèle change. Le gain rapporté plus bas n'est donc pas imputable à de meilleures variables.</w:t>
      </w:r>
    </w:p>
    <w:p>
      <w:pPr>
        <w:pStyle w:val="Heading2"/>
      </w:pPr>
      <w:r>
        <w:rPr>
          <w:color w:val="1E3A8A"/>
        </w:rPr>
        <w:t>4.2 Renforcement du protocole d'évaluation</w:t>
      </w:r>
    </w:p>
    <w:p>
      <w:r>
        <w:rPr>
          <w:i w:val="0"/>
        </w:rPr>
        <w:t>Quatre vérifications ont été ajoutées, chacune répondant à une manière précise de se tromper :</w:t>
      </w:r>
    </w:p>
    <w:p>
      <w:pPr>
        <w:spacing w:after="120"/>
        <w:ind w:left="360"/>
      </w:pPr>
      <w:r>
        <w:rPr>
          <w:b/>
        </w:rPr>
        <w:t xml:space="preserve">Corrélation partielle — </w:t>
      </w:r>
      <w:r>
        <w:t>on retire statistiquement l'influence du score d'admission des deux côtés — du réel et du prédit — puis on recalcule la corrélation. Ce qui reste est ce que le modèle a trouvé au-delà du dossier clinique.</w:t>
      </w:r>
    </w:p>
    <w:p>
      <w:pPr>
        <w:spacing w:after="120"/>
        <w:ind w:left="360"/>
      </w:pPr>
      <w:r>
        <w:rPr>
          <w:b/>
        </w:rPr>
        <w:t xml:space="preserve">Coefficient de détermination R² — </w:t>
      </w:r>
      <w:r>
        <w:t>indique si le modèle fait mieux que prédire systématiquement la moyenne de la cohorte. Une valeur négative signifie qu'il fait pire. Tous les modèles antérieurs de ce projet avaient un R² négatif.</w:t>
      </w:r>
    </w:p>
    <w:p>
      <w:pPr>
        <w:spacing w:after="120"/>
        <w:ind w:left="360"/>
      </w:pPr>
      <w:r>
        <w:rPr>
          <w:b/>
        </w:rPr>
        <w:t xml:space="preserve">Comparaison au niveau de base, à conditions égales — </w:t>
      </w:r>
      <w:r>
        <w:t>la prédiction triviale par le seul score d'admission est désormais évaluée par la même validation croisée que le modèle. Comparer un modèle évalué hors échantillon à un niveau de base calculé sur l'échantillon complet défavorise injustement le modèle.</w:t>
      </w:r>
    </w:p>
    <w:p>
      <w:pPr>
        <w:spacing w:after="120"/>
        <w:ind w:left="360"/>
      </w:pPr>
      <w:r>
        <w:rPr>
          <w:b/>
        </w:rPr>
        <w:t xml:space="preserve">Contrôle par ré-entraînement sur étiquettes permutées — </w:t>
      </w:r>
      <w:r>
        <w:t>on mélange aléatoirement les résultats cliniques et l'on réentraîne l'intégralité de la chaîne de traitement. Si elle produit encore une corrélation, c'est qu'une fuite subsiste. C'est le seul contrôle qui détecte le défaut décrit en 3.3 ; un test de permutation appliqué après coup ne le détecte pas.</w:t>
      </w:r>
    </w:p>
    <w:p>
      <w:pPr>
        <w:pStyle w:val="Heading2"/>
      </w:pPr>
      <w:r>
        <w:rPr>
          <w:color w:val="1E3A8A"/>
        </w:rPr>
        <w:t>4.3 Correction de la fuite de validation</w:t>
      </w:r>
    </w:p>
    <w:p>
      <w:r>
        <w:rPr>
          <w:i w:val="0"/>
        </w:rPr>
        <w:t>Le sous-ensemble servant à l'arrêt précoce est désormais prélevé à l'intérieur du groupe d'entraînement, par séparation patient par patient. Aucun patient évalué n'intervient plus dans la sélection du modèle qui l'évalue. Deux tests automatisés vérifient en permanence cette propriété.</w:t>
      </w:r>
    </w:p>
    <w:p>
      <w:pPr>
        <w:pStyle w:val="Heading2"/>
      </w:pPr>
      <w:r>
        <w:rPr>
          <w:color w:val="1E3A8A"/>
        </w:rPr>
        <w:t>4.4 Alignement du prétraitement sur la méthode publiée</w:t>
      </w:r>
    </w:p>
    <w:p>
      <w:r>
        <w:rPr>
          <w:i w:val="0"/>
        </w:rPr>
        <w:t>Le prétraitement du signal a été aligné sur la section Méthodes de l'étude de référence : filtre coupe-bande à 50 Hz, filtre passe-bande 0,01–50 Hz et référence moyenne commune. Ce dernier point n'était pas implémenté ; or la puissance spectrale dépend de la référence choisie, de sorte que les variables calculées auparavant n'étaient pas celles de l'étude.</w:t>
      </w:r>
    </w:p>
    <w:p>
      <w:pPr>
        <w:pStyle w:val="Heading2"/>
      </w:pPr>
      <w:r>
        <w:rPr>
          <w:color w:val="1E3A8A"/>
        </w:rPr>
        <w:t>4.5 Introduction d'une cible non confondue</w:t>
      </w:r>
    </w:p>
    <w:p>
      <w:r>
        <w:rPr>
          <w:i w:val="0"/>
        </w:rPr>
        <w:t>Une seconde cible a été ajoutée : le pourcentage de réduction du score, plutôt que le nombre de points gagnés. Cette formulation neutralise en grande partie le couplage à la sévérité initiale — le facteur de confusion y tombe de r = 0,500 à r = 0,156. Un résultat obtenu sur cette cible est donc intrinsèquement plus solide.</w:t>
      </w:r>
    </w:p>
    <w:p>
      <w:r>
        <w:br w:type="page"/>
      </w:r>
    </w:p>
    <w:p>
      <w:pPr>
        <w:pStyle w:val="Heading1"/>
      </w:pPr>
      <w:r>
        <w:rPr>
          <w:color w:val="1E3A8A"/>
        </w:rPr>
        <w:t>5. Résultats</w:t>
      </w:r>
    </w:p>
    <w:p>
      <w:r>
        <w:rPr>
          <w:i w:val="0"/>
        </w:rPr>
        <w:t>Protocole 1 (n = 44 patients, identique à l'étude de référence). Validation croisée à 10 groupes, répétée sur 10 tirages, séparation stricte par patient.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Mesure</w:t>
            </w:r>
          </w:p>
        </w:tc>
        <w:tc>
          <w:tcPr>
            <w:tcW w:type="dxa" w:w="2880"/>
          </w:tcPr>
          <w:p>
            <w:r/>
            <w:r>
              <w:rPr>
                <w:b/>
                <w:sz w:val="18"/>
              </w:rPr>
              <w:t>Étude de référence</w:t>
            </w:r>
          </w:p>
        </w:tc>
        <w:tc>
          <w:tcPr>
            <w:tcW w:type="dxa" w:w="2880"/>
          </w:tcPr>
          <w:p>
            <w:r/>
            <w:r>
              <w:rPr>
                <w:b/>
                <w:sz w:val="18"/>
              </w:rPr>
              <w:t>Ce travail</w:t>
            </w:r>
          </w:p>
        </w:tc>
      </w:tr>
      <w:tr>
        <w:tc>
          <w:tcPr>
            <w:tcW w:type="dxa" w:w="2880"/>
          </w:tcPr>
          <w:p>
            <w:r/>
            <w:r>
              <w:rPr>
                <w:sz w:val="18"/>
              </w:rPr>
              <w:t>r — protocole 1 (n = 44)</w:t>
            </w:r>
          </w:p>
        </w:tc>
        <w:tc>
          <w:tcPr>
            <w:tcW w:type="dxa" w:w="2880"/>
          </w:tcPr>
          <w:p>
            <w:r/>
            <w:r>
              <w:rPr>
                <w:sz w:val="18"/>
              </w:rPr>
              <w:t>0,401</w:t>
            </w:r>
          </w:p>
        </w:tc>
        <w:tc>
          <w:tcPr>
            <w:tcW w:type="dxa" w:w="2880"/>
          </w:tcPr>
          <w:p>
            <w:r/>
            <w:r>
              <w:rPr>
                <w:sz w:val="18"/>
              </w:rPr>
              <w:t>+0,571 ± 0,043</w:t>
            </w:r>
          </w:p>
        </w:tc>
      </w:tr>
      <w:tr>
        <w:tc>
          <w:tcPr>
            <w:tcW w:type="dxa" w:w="2880"/>
          </w:tcPr>
          <w:p>
            <w:r/>
            <w:r>
              <w:rPr>
                <w:sz w:val="18"/>
              </w:rPr>
              <w:t>r — protocole 2</w:t>
            </w:r>
          </w:p>
        </w:tc>
        <w:tc>
          <w:tcPr>
            <w:tcW w:type="dxa" w:w="2880"/>
          </w:tcPr>
          <w:p>
            <w:r/>
            <w:r>
              <w:rPr>
                <w:sz w:val="18"/>
              </w:rPr>
              <w:t>0,26 (n = 73)</w:t>
            </w:r>
          </w:p>
        </w:tc>
        <w:tc>
          <w:tcPr>
            <w:tcW w:type="dxa" w:w="2880"/>
          </w:tcPr>
          <w:p>
            <w:r/>
            <w:r>
              <w:rPr>
                <w:sz w:val="18"/>
              </w:rPr>
              <w:t>+0,320 ± 0,036 (n = 88)</w:t>
            </w:r>
          </w:p>
        </w:tc>
      </w:tr>
      <w:tr>
        <w:tc>
          <w:tcPr>
            <w:tcW w:type="dxa" w:w="2880"/>
          </w:tcPr>
          <w:p>
            <w:r/>
            <w:r>
              <w:rPr>
                <w:sz w:val="18"/>
              </w:rPr>
              <w:t>R² (variance expliquée)</w:t>
            </w:r>
          </w:p>
        </w:tc>
        <w:tc>
          <w:tcPr>
            <w:tcW w:type="dxa" w:w="2880"/>
          </w:tcPr>
          <w:p>
            <w:r/>
            <w:r>
              <w:rPr>
                <w:sz w:val="18"/>
              </w:rPr>
              <w:t>non rapporté</w:t>
            </w:r>
          </w:p>
        </w:tc>
        <w:tc>
          <w:tcPr>
            <w:tcW w:type="dxa" w:w="2880"/>
          </w:tcPr>
          <w:p>
            <w:r/>
            <w:r>
              <w:rPr>
                <w:sz w:val="18"/>
              </w:rPr>
              <w:t>+0,284</w:t>
            </w:r>
          </w:p>
        </w:tc>
      </w:tr>
      <w:tr>
        <w:tc>
          <w:tcPr>
            <w:tcW w:type="dxa" w:w="2880"/>
          </w:tcPr>
          <w:p>
            <w:r/>
            <w:r>
              <w:rPr>
                <w:sz w:val="18"/>
              </w:rPr>
              <w:t>Corrélation partielle, sévérité initiale retirée</w:t>
            </w:r>
          </w:p>
        </w:tc>
        <w:tc>
          <w:tcPr>
            <w:tcW w:type="dxa" w:w="2880"/>
          </w:tcPr>
          <w:p>
            <w:r/>
            <w:r>
              <w:rPr>
                <w:sz w:val="18"/>
              </w:rPr>
              <w:t>non rapportée</w:t>
            </w:r>
          </w:p>
        </w:tc>
        <w:tc>
          <w:tcPr>
            <w:tcW w:type="dxa" w:w="2880"/>
          </w:tcPr>
          <w:p>
            <w:r/>
            <w:r>
              <w:rPr>
                <w:sz w:val="18"/>
              </w:rPr>
              <w:t>+0,562</w:t>
            </w:r>
          </w:p>
        </w:tc>
      </w:tr>
      <w:tr>
        <w:tc>
          <w:tcPr>
            <w:tcW w:type="dxa" w:w="2880"/>
          </w:tcPr>
          <w:p>
            <w:r/>
            <w:r>
              <w:rPr>
                <w:sz w:val="18"/>
              </w:rPr>
              <w:t>Niveau de base (score d'admission seul), hors échantillon</w:t>
            </w:r>
          </w:p>
        </w:tc>
        <w:tc>
          <w:tcPr>
            <w:tcW w:type="dxa" w:w="2880"/>
          </w:tcPr>
          <w:p>
            <w:r/>
            <w:r>
              <w:rPr>
                <w:sz w:val="18"/>
              </w:rPr>
              <w:t>non rapporté</w:t>
            </w:r>
          </w:p>
        </w:tc>
        <w:tc>
          <w:tcPr>
            <w:tcW w:type="dxa" w:w="2880"/>
          </w:tcPr>
          <w:p>
            <w:r/>
            <w:r>
              <w:rPr>
                <w:sz w:val="18"/>
              </w:rPr>
              <w:t>0,421 — dépassé</w:t>
            </w:r>
          </w:p>
        </w:tc>
      </w:tr>
      <w:tr>
        <w:tc>
          <w:tcPr>
            <w:tcW w:type="dxa" w:w="2880"/>
          </w:tcPr>
          <w:p>
            <w:r/>
            <w:r>
              <w:rPr>
                <w:sz w:val="18"/>
              </w:rPr>
              <w:t>Contrôle par étiquettes permutées</w:t>
            </w:r>
          </w:p>
        </w:tc>
        <w:tc>
          <w:tcPr>
            <w:tcW w:type="dxa" w:w="2880"/>
          </w:tcPr>
          <w:p>
            <w:r/>
            <w:r>
              <w:rPr>
                <w:sz w:val="18"/>
              </w:rPr>
              <w:t>non rapporté</w:t>
            </w:r>
          </w:p>
        </w:tc>
        <w:tc>
          <w:tcPr>
            <w:tcW w:type="dxa" w:w="2880"/>
          </w:tcPr>
          <w:p>
            <w:r/>
            <w:r>
              <w:rPr>
                <w:sz w:val="18"/>
              </w:rPr>
              <w:t>p = 0,020</w:t>
            </w:r>
          </w:p>
        </w:tc>
      </w:tr>
      <w:tr>
        <w:tc>
          <w:tcPr>
            <w:tcW w:type="dxa" w:w="2880"/>
          </w:tcPr>
          <w:p>
            <w:r/>
            <w:r>
              <w:rPr>
                <w:sz w:val="18"/>
              </w:rPr>
              <w:t>Écart-type des prédictions (cible : 12,75)</w:t>
            </w:r>
          </w:p>
        </w:tc>
        <w:tc>
          <w:tcPr>
            <w:tcW w:type="dxa" w:w="2880"/>
          </w:tcPr>
          <w:p>
            <w:r/>
            <w:r>
              <w:rPr>
                <w:sz w:val="18"/>
              </w:rPr>
              <w:t>non rapporté</w:t>
            </w:r>
          </w:p>
        </w:tc>
        <w:tc>
          <w:tcPr>
            <w:tcW w:type="dxa" w:w="2880"/>
          </w:tcPr>
          <w:p>
            <w:r/>
            <w:r>
              <w:rPr>
                <w:sz w:val="18"/>
              </w:rPr>
              <w:t>9,50</w:t>
            </w:r>
          </w:p>
        </w:tc>
      </w:tr>
    </w:tbl>
    <w:p/>
    <w:p>
      <w:r>
        <w:rPr>
          <w:i w:val="0"/>
        </w:rPr>
        <w:t>La dernière ligne mérite un commentaire : elle établit que le modèle exprime désormais une variation réelle d'un patient à l'autre, là où le réseau de neurones produisait une valeur presque constante. C'est la différence entre un modèle qui prédit et un modèle qui récite la moyenne.</w:t>
      </w:r>
    </w:p>
    <w:p>
      <w:r>
        <w:rPr>
          <w:i w:val="0"/>
        </w:rPr>
        <w:t>Sur la cible en pourcentage de réduction, moins sujette au facteur de confusion, le modèle atteint r = +0,516 avec une corrélation partielle de +0,579, contre 0,156 pour le score d'admission seul.</w:t>
      </w:r>
    </w:p>
    <w:p>
      <w:pPr>
        <w:pStyle w:val="Heading1"/>
      </w:pPr>
      <w:r>
        <w:rPr>
          <w:color w:val="1E3A8A"/>
        </w:rPr>
        <w:t>6. Discussion</w:t>
      </w:r>
    </w:p>
    <w:p>
      <w:r>
        <w:rPr>
          <w:i w:val="0"/>
        </w:rPr>
        <w:t>Le résultat principal n'est pas la valeur numérique supérieure, mais sa robustesse au facteur de confusion. Un coefficient de 0,571 accompagné d'une corrélation partielle de 0,562 signifie que le retrait de la sévérité initiale ne détruit pratiquement pas la prédiction : l'information provient bien du signal EEG, et non du questionnaire d'admission. Cette démonstration n'est pas disponible pour le résultat de référence, dont la valeur se situe à l'intérieur de l'intervalle de confiance du facteur de confusion.</w:t>
      </w:r>
    </w:p>
    <w:p>
      <w:r>
        <w:rPr>
          <w:i w:val="0"/>
        </w:rPr>
        <w:t>Le second enseignement est méthodologique et dépasse le cadre de cette étude : sur une cohorte de quelques dizaines de patients, le choix de la famille de modèle pèse davantage que le raffinement des variables. Le passage d'un réseau de 182 849 paramètres à une régression régularisée a produit, à variables strictement identiques, un écart de 0,94 point de corrélation. Les modèles à forte capacité, dont l'usage est aujourd'hui réflexe, sont ici contre-productifs.</w:t>
      </w:r>
    </w:p>
    <w:p>
      <w:r>
        <w:rPr>
          <w:i w:val="0"/>
        </w:rPr>
        <w:t>Il faut enfin souligner que ce gain provient du modèle, et non d'une extraction de variables supérieure. Notre prétraitement demeure plus sommaire que celui de l'étude de référence.</w:t>
      </w:r>
    </w:p>
    <w:p>
      <w:r>
        <w:br w:type="page"/>
      </w:r>
    </w:p>
    <w:p>
      <w:pPr>
        <w:pStyle w:val="Heading1"/>
      </w:pPr>
      <w:r>
        <w:rPr>
          <w:color w:val="1E3A8A"/>
        </w:rPr>
        <w:t>7. Limites</w:t>
      </w:r>
    </w:p>
    <w:p>
      <w:r>
        <w:rPr>
          <w:i w:val="0"/>
        </w:rPr>
        <w:t>Les réserves suivantes sont énoncées ici parce qu'elles conditionnent l'interprétation des chiffres du tableau précédent.</w:t>
      </w:r>
    </w:p>
    <w:p>
      <w:pPr>
        <w:pStyle w:val="ListBullet"/>
      </w:pPr>
      <w:r>
        <w:t>Biais de sélection du modèle. La régression ridge a été retenue après comparaison de quatre familles de modèles sur les mêmes données ; son coefficient est donc optimiste. Un protocole de validation imbriqué est nécessaire pour l'estimer sans biais.</w:t>
      </w:r>
    </w:p>
    <w:p>
      <w:pPr>
        <w:pStyle w:val="ListBullet"/>
      </w:pPr>
      <w:r>
        <w:t>Nombre de permutations insuffisant. Le contrôle repose sur 50 permutations ; la queue de la distribution nulle atteignant +0,45, un millier de permutations serait requis pour une valeur de p stable.</w:t>
      </w:r>
    </w:p>
    <w:p>
      <w:pPr>
        <w:pStyle w:val="ListBullet"/>
      </w:pPr>
      <w:r>
        <w:t>Protocole 2 non strictement comparable. Notre cohorte compte 88 patients contre 73 dans l'étude de référence. Les 15 sujets exclus par les auteurs ne sont pas identifiables à partir des métadonnées publiées ; nous avons choisi de conserver l'ensemble des patients disponibles plutôt que d'en écarter jusqu'à faire coïncider les effectifs.</w:t>
      </w:r>
    </w:p>
    <w:p>
      <w:pPr>
        <w:pStyle w:val="ListBullet"/>
      </w:pPr>
      <w:r>
        <w:t>Prétraitement incomplet. L'analyse en composantes indépendantes, le rejet des segments artefactés et l'interpolation des électrodes défectueuses, présents dans l'étude de référence, ne sont pas implémentés.</w:t>
      </w:r>
    </w:p>
    <w:p>
      <w:pPr>
        <w:pStyle w:val="ListBullet"/>
      </w:pPr>
      <w:r>
        <w:t>Absence d'échantillon de test indépendant. Toutes les valeurs rapportées proviennent d'une validation croisée sur la même cohorte. Une validation sur une cohorte externe reste nécessaire.</w:t>
      </w:r>
    </w:p>
    <w:p>
      <w:pPr>
        <w:pStyle w:val="Heading1"/>
      </w:pPr>
      <w:r>
        <w:rPr>
          <w:color w:val="1E3A8A"/>
        </w:rPr>
        <w:t>8. Conclusion</w:t>
      </w:r>
    </w:p>
    <w:p>
      <w:r>
        <w:rPr>
          <w:i w:val="0"/>
        </w:rPr>
        <w:t>Ce travail établit qu'un signal EEG prédictif de la réponse à la rTMS est présent dans la cohorte TDBRAIN, et qu'il survit au retrait du principal facteur de confusion clinique. Il montre également que l'échec initial de notre approche provenait du choix du modèle et non des données — un diagnostic qui n'aurait pas été posé sans les contrôles décrits en section 4.</w:t>
      </w:r>
    </w:p>
    <w:p>
      <w:r>
        <w:rPr>
          <w:i w:val="0"/>
        </w:rPr>
        <w:t>Les prolongements prioritaires sont, dans l'ordre : la levée du biais de sélection par validation imbriquée, l'augmentation du nombre de permutations, puis l'implémentation du prétraitement complet de l'étude de référence, seule voie susceptible d'améliorer encore les variables elles-mêmes.</w:t>
      </w:r>
    </w:p>
    <w:p>
      <w:pPr>
        <w:pStyle w:val="Heading1"/>
      </w:pPr>
      <w:r>
        <w:rPr>
          <w:color w:val="1E3A8A"/>
        </w:rPr>
        <w:t>Références</w:t>
      </w:r>
    </w:p>
    <w:p>
      <w:r>
        <w:rPr>
          <w:i w:val="0"/>
        </w:rPr>
        <w:t>Arteaga et al. Prediction of rTMS treatment response in major depressive disorder from resting-state EEG. PMC12981298.</w:t>
      </w:r>
    </w:p>
    <w:p>
      <w:r>
        <w:rPr>
          <w:i w:val="0"/>
        </w:rPr>
        <w:t>van Dijk H. et al. The Two Decades Brainclinics Research Archive for Insights in Neurophysiology (TDBRAIN) database. Scientific Data, 2022.</w:t>
      </w:r>
    </w:p>
    <w:p/>
    <w:p>
      <w:r>
        <w:rPr>
          <w:i/>
        </w:rPr>
        <w:t>Toutes les valeurs citées sont reproductibles à partir du dépôt du projet : data/models/article_comparison.json, data/models/r_stability.json, et la procédure de validation croisée décrite en section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