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56"/>
        </w:rPr>
        <w:t>Critique méthodologique et voies d'amélioration</w:t>
      </w:r>
    </w:p>
    <w:p>
      <w:pPr>
        <w:jc w:val="center"/>
      </w:pPr>
      <w:r>
        <w:rPr>
          <w:sz w:val="28"/>
        </w:rPr>
        <w:t>NeuroRéponse face à Arteaga et al. (2024) — prédiction de la réponse à la rTMS sur TDBRAIN</w:t>
      </w:r>
    </w:p>
    <w:p>
      <w:pPr>
        <w:jc w:val="center"/>
      </w:pPr>
      <w:r>
        <w:rPr>
          <w:i/>
          <w:sz w:val="22"/>
        </w:rPr>
        <w:t>PFE 2026 — document d'analyse, rédigé après exécution du protocole d'ablation HYPO4 / RES0_AR1</w:t>
      </w:r>
    </w:p>
    <w:p/>
    <w:p>
      <w:r>
        <w:rPr>
          <w:i w:val="0"/>
          <w:sz w:val="22"/>
        </w:rPr>
        <w:t>Ce document fait deux choses. La première partie est une autocritique : elle recense, sans ménagement, ce qui ne va pas dans la manière dont nous avons cherché à améliorer le travail à partir des équations proposées. La seconde partie est une revue des voies d'amélioration réellement disponibles pour atteindre ou dépasser le résultat de l'étude de référence, classées par rapport gain/coût.</w:t>
      </w:r>
    </w:p>
    <w:p>
      <w:r>
        <w:rPr>
          <w:i/>
          <w:sz w:val="20"/>
        </w:rPr>
        <w:t>Toutes les valeurs citées pour notre projet sont lues depuis les artefacts mesurés (hypo_ablation.json, r_stability.json, article_comparison.json) et non recopiées à la main. Les valeurs de l'article proviennent de son texte publié.</w:t>
      </w:r>
    </w:p>
    <w:p>
      <w:pPr>
        <w:pStyle w:val="Heading1"/>
      </w:pPr>
      <w:r>
        <w:rPr>
          <w:color w:val="1E3A8A"/>
        </w:rPr>
        <w:t>Résumé exécutif</w:t>
      </w:r>
    </w:p>
    <w:p>
      <w:r>
        <w:rPr>
          <w:i w:val="0"/>
          <w:sz w:val="22"/>
        </w:rPr>
        <w:t>En une phrase : nous n'avons pas échoué à trouver un signal, nous avons échoué à le chercher avec le bon outil — et le bon outil est identifié, disponible et peu coûteux.</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r>
          </w:p>
        </w:tc>
        <w:tc>
          <w:tcPr>
            <w:tcW w:type="dxa" w:w="2880"/>
          </w:tcPr>
          <w:p>
            <w:r/>
            <w:r>
              <w:rPr>
                <w:b/>
                <w:sz w:val="18"/>
              </w:rPr>
              <w:t>Article (Arteaga et al.)</w:t>
            </w:r>
          </w:p>
        </w:tc>
        <w:tc>
          <w:tcPr>
            <w:tcW w:type="dxa" w:w="2880"/>
          </w:tcPr>
          <w:p>
            <w:r/>
            <w:r>
              <w:rPr>
                <w:b/>
                <w:sz w:val="18"/>
              </w:rPr>
              <w:t>NeuroRéponse (mesuré)</w:t>
            </w:r>
          </w:p>
        </w:tc>
      </w:tr>
      <w:tr>
        <w:tc>
          <w:tcPr>
            <w:tcW w:type="dxa" w:w="2880"/>
          </w:tcPr>
          <w:p>
            <w:r/>
            <w:r>
              <w:rPr>
                <w:sz w:val="18"/>
              </w:rPr>
              <w:t>Cible</w:t>
            </w:r>
          </w:p>
        </w:tc>
        <w:tc>
          <w:tcPr>
            <w:tcW w:type="dxa" w:w="2880"/>
          </w:tcPr>
          <w:p>
            <w:r/>
            <w:r>
              <w:rPr>
                <w:sz w:val="18"/>
              </w:rPr>
              <w:t>ΔBDI-II continu</w:t>
            </w:r>
          </w:p>
        </w:tc>
        <w:tc>
          <w:tcPr>
            <w:tcW w:type="dxa" w:w="2880"/>
          </w:tcPr>
          <w:p>
            <w:r/>
            <w:r>
              <w:rPr>
                <w:sz w:val="18"/>
              </w:rPr>
              <w:t>ΔBDI-II continu + label binaire</w:t>
            </w:r>
          </w:p>
        </w:tc>
      </w:tr>
      <w:tr>
        <w:tc>
          <w:tcPr>
            <w:tcW w:type="dxa" w:w="2880"/>
          </w:tcPr>
          <w:p>
            <w:r/>
            <w:r>
              <w:rPr>
                <w:sz w:val="18"/>
              </w:rPr>
              <w:t>Représentation du signal</w:t>
            </w:r>
          </w:p>
        </w:tc>
        <w:tc>
          <w:tcPr>
            <w:tcW w:type="dxa" w:w="2880"/>
          </w:tcPr>
          <w:p>
            <w:r/>
            <w:r>
              <w:rPr>
                <w:sz w:val="18"/>
              </w:rPr>
              <w:t>Matrices de covariance 26×26, 3 sous-bandes (bloc-diagonal 78×78)</w:t>
            </w:r>
          </w:p>
        </w:tc>
        <w:tc>
          <w:tcPr>
            <w:tcW w:type="dxa" w:w="2880"/>
          </w:tcPr>
          <w:p>
            <w:r/>
            <w:r>
              <w:rPr>
                <w:sz w:val="18"/>
              </w:rPr>
              <w:t>Puissances de bande moyennées par canal (130 colonnes)</w:t>
            </w:r>
          </w:p>
        </w:tc>
      </w:tr>
      <w:tr>
        <w:tc>
          <w:tcPr>
            <w:tcW w:type="dxa" w:w="2880"/>
          </w:tcPr>
          <w:p>
            <w:r/>
            <w:r>
              <w:rPr>
                <w:sz w:val="18"/>
              </w:rPr>
              <w:t>Prétraitement</w:t>
            </w:r>
          </w:p>
        </w:tc>
        <w:tc>
          <w:tcPr>
            <w:tcW w:type="dxa" w:w="2880"/>
          </w:tcPr>
          <w:p>
            <w:r/>
            <w:r>
              <w:rPr>
                <w:sz w:val="18"/>
              </w:rPr>
              <w:t>Rejet de segments, interpolation de canaux, ICA, référence moyenne</w:t>
            </w:r>
          </w:p>
        </w:tc>
        <w:tc>
          <w:tcPr>
            <w:tcW w:type="dxa" w:w="2880"/>
          </w:tcPr>
          <w:p>
            <w:r/>
            <w:r>
              <w:rPr>
                <w:sz w:val="18"/>
              </w:rPr>
              <w:t>Notch + passe-bande + référence moyenne. Aucun rejet d'artefact.</w:t>
            </w:r>
          </w:p>
        </w:tc>
      </w:tr>
      <w:tr>
        <w:tc>
          <w:tcPr>
            <w:tcW w:type="dxa" w:w="2880"/>
          </w:tcPr>
          <w:p>
            <w:r/>
            <w:r>
              <w:rPr>
                <w:sz w:val="18"/>
              </w:rPr>
              <w:t>Modèle</w:t>
            </w:r>
          </w:p>
        </w:tc>
        <w:tc>
          <w:tcPr>
            <w:tcW w:type="dxa" w:w="2880"/>
          </w:tcPr>
          <w:p>
            <w:r/>
            <w:r>
              <w:rPr>
                <w:sz w:val="18"/>
              </w:rPr>
              <w:t>SBLEST (bayésien parcimonieux, linéaire, bas rang)</w:t>
            </w:r>
          </w:p>
        </w:tc>
        <w:tc>
          <w:tcPr>
            <w:tcW w:type="dxa" w:w="2880"/>
          </w:tcPr>
          <w:p>
            <w:r/>
            <w:r>
              <w:rPr>
                <w:sz w:val="18"/>
              </w:rPr>
              <w:t>LSTM 128→64 (~90 000 paramètres)</w:t>
            </w:r>
          </w:p>
        </w:tc>
      </w:tr>
      <w:tr>
        <w:tc>
          <w:tcPr>
            <w:tcW w:type="dxa" w:w="2880"/>
          </w:tcPr>
          <w:p>
            <w:r/>
            <w:r>
              <w:rPr>
                <w:sz w:val="18"/>
              </w:rPr>
              <w:t>Validation</w:t>
            </w:r>
          </w:p>
        </w:tc>
        <w:tc>
          <w:tcPr>
            <w:tcW w:type="dxa" w:w="2880"/>
          </w:tcPr>
          <w:p>
            <w:r/>
            <w:r>
              <w:rPr>
                <w:sz w:val="18"/>
              </w:rPr>
              <w:t>10 × 10-fold, augmentation par retournement temporel</w:t>
            </w:r>
          </w:p>
        </w:tc>
        <w:tc>
          <w:tcPr>
            <w:tcW w:type="dxa" w:w="2880"/>
          </w:tcPr>
          <w:p>
            <w:r/>
            <w:r>
              <w:rPr>
                <w:sz w:val="18"/>
              </w:rPr>
              <w:t>5-fold (échelle) ou 10 × 10-fold (bras article)</w:t>
            </w:r>
          </w:p>
        </w:tc>
      </w:tr>
      <w:tr>
        <w:tc>
          <w:tcPr>
            <w:tcW w:type="dxa" w:w="2880"/>
          </w:tcPr>
          <w:p>
            <w:r/>
            <w:r>
              <w:rPr>
                <w:sz w:val="18"/>
              </w:rPr>
              <w:t>r rapporté, protocole 1 (n = 44)</w:t>
            </w:r>
          </w:p>
        </w:tc>
        <w:tc>
          <w:tcPr>
            <w:tcW w:type="dxa" w:w="2880"/>
          </w:tcPr>
          <w:p>
            <w:r/>
            <w:r>
              <w:rPr>
                <w:sz w:val="18"/>
              </w:rPr>
              <w:t>0,401 (p = 0,00703)</w:t>
            </w:r>
          </w:p>
        </w:tc>
        <w:tc>
          <w:tcPr>
            <w:tcW w:type="dxa" w:w="2880"/>
          </w:tcPr>
          <w:p>
            <w:r/>
            <w:r>
              <w:rPr>
                <w:sz w:val="18"/>
              </w:rPr>
              <w:t>-0,010 ± 0,123</w:t>
            </w:r>
          </w:p>
        </w:tc>
      </w:tr>
      <w:tr>
        <w:tc>
          <w:tcPr>
            <w:tcW w:type="dxa" w:w="2880"/>
          </w:tcPr>
          <w:p>
            <w:r/>
            <w:r>
              <w:rPr>
                <w:sz w:val="18"/>
              </w:rPr>
              <w:t>r rapporté, protocole 2</w:t>
            </w:r>
          </w:p>
        </w:tc>
        <w:tc>
          <w:tcPr>
            <w:tcW w:type="dxa" w:w="2880"/>
          </w:tcPr>
          <w:p>
            <w:r/>
            <w:r>
              <w:rPr>
                <w:sz w:val="18"/>
              </w:rPr>
              <w:t>0,255 (p = 0,0292), n = 73</w:t>
            </w:r>
          </w:p>
        </w:tc>
        <w:tc>
          <w:tcPr>
            <w:tcW w:type="dxa" w:w="2880"/>
          </w:tcPr>
          <w:p>
            <w:r/>
            <w:r>
              <w:rPr>
                <w:sz w:val="18"/>
              </w:rPr>
              <w:t>-0,157 ± 0,143, n = 88</w:t>
            </w:r>
          </w:p>
        </w:tc>
      </w:tr>
      <w:tr>
        <w:tc>
          <w:tcPr>
            <w:tcW w:type="dxa" w:w="2880"/>
          </w:tcPr>
          <w:p>
            <w:r/>
            <w:r>
              <w:rPr>
                <w:sz w:val="18"/>
              </w:rPr>
              <w:t>Référence triviale (BDI-II initial seul)</w:t>
            </w:r>
          </w:p>
        </w:tc>
        <w:tc>
          <w:tcPr>
            <w:tcW w:type="dxa" w:w="2880"/>
          </w:tcPr>
          <w:p>
            <w:r/>
            <w:r>
              <w:rPr>
                <w:sz w:val="18"/>
              </w:rPr>
              <w:t>Non rapportée</w:t>
            </w:r>
          </w:p>
        </w:tc>
        <w:tc>
          <w:tcPr>
            <w:tcW w:type="dxa" w:w="2880"/>
          </w:tcPr>
          <w:p>
            <w:r/>
            <w:r>
              <w:rPr>
                <w:sz w:val="18"/>
              </w:rPr>
              <w:t>+0,500  IC95 [+0,258, +0,700]</w:t>
            </w:r>
          </w:p>
        </w:tc>
      </w:tr>
      <w:tr>
        <w:tc>
          <w:tcPr>
            <w:tcW w:type="dxa" w:w="2880"/>
          </w:tcPr>
          <w:p>
            <w:r/>
            <w:r>
              <w:rPr>
                <w:sz w:val="18"/>
              </w:rPr>
              <w:t>Correction des comparaisons multiples</w:t>
            </w:r>
          </w:p>
        </w:tc>
        <w:tc>
          <w:tcPr>
            <w:tcW w:type="dxa" w:w="2880"/>
          </w:tcPr>
          <w:p>
            <w:r/>
            <w:r>
              <w:rPr>
                <w:sz w:val="18"/>
              </w:rPr>
              <w:t>Aucune (≥ 16 combinaisons)</w:t>
            </w:r>
          </w:p>
        </w:tc>
        <w:tc>
          <w:tcPr>
            <w:tcW w:type="dxa" w:w="2880"/>
          </w:tcPr>
          <w:p>
            <w:r/>
            <w:r>
              <w:rPr>
                <w:sz w:val="18"/>
              </w:rPr>
              <w:t>Benjamini-Hochberg appliquée systématiquement</w:t>
            </w:r>
          </w:p>
        </w:tc>
      </w:tr>
      <w:tr>
        <w:tc>
          <w:tcPr>
            <w:tcW w:type="dxa" w:w="2880"/>
          </w:tcPr>
          <w:p>
            <w:r/>
            <w:r>
              <w:rPr>
                <w:sz w:val="18"/>
              </w:rPr>
              <w:t>Contrôle par réentraînement sur labels permutés</w:t>
            </w:r>
          </w:p>
        </w:tc>
        <w:tc>
          <w:tcPr>
            <w:tcW w:type="dxa" w:w="2880"/>
          </w:tcPr>
          <w:p>
            <w:r/>
            <w:r>
              <w:rPr>
                <w:sz w:val="18"/>
              </w:rPr>
              <w:t>Non</w:t>
            </w:r>
          </w:p>
        </w:tc>
        <w:tc>
          <w:tcPr>
            <w:tcW w:type="dxa" w:w="2880"/>
          </w:tcPr>
          <w:p>
            <w:r/>
            <w:r>
              <w:rPr>
                <w:sz w:val="18"/>
              </w:rPr>
              <w:t>Oui — chevauchement 60 %</w:t>
            </w:r>
          </w:p>
        </w:tc>
      </w:tr>
    </w:tbl>
    <w:p/>
    <w:p>
      <w:r>
        <w:rPr>
          <w:i w:val="0"/>
          <w:sz w:val="22"/>
        </w:rPr>
        <w:t>Trois constats se dégagent, et ils doivent être lus ensemble :</w:t>
      </w:r>
    </w:p>
    <w:p>
      <w:pPr>
        <w:pStyle w:val="ListBullet"/>
      </w:pPr>
      <w:r>
        <w:t>Nous ne reproduisons pas leur r = 0,401. Sur le même protocole, la même cible et le même montage EEG, nous obtenons -0,010 ± 0,123, indiscernable de notre propre bruit (chevauchement 60% avec les labels permutés).</w:t>
      </w:r>
    </w:p>
    <w:p>
      <w:pPr>
        <w:pStyle w:val="ListBullet"/>
      </w:pPr>
      <w:r>
        <w:t>Leur chiffre n'est pourtant pas du bruit pur : 0,401 dépasse le |r| maximal que notre chaîne atteint sur des étiquettes aléatoires (0,229). Leur extraction fait quelque chose que la nôtre ne fait pas. L'écart est de notre côté.</w:t>
      </w:r>
    </w:p>
    <w:p>
      <w:pPr>
        <w:pStyle w:val="ListBullet"/>
      </w:pPr>
      <w:r>
        <w:t>Mais leur chiffre ne se distingue pas non plus du confondant : le BDI-II initial seul, sans aucun modèle, atteint r = 0,500 (IC95 [0,258, 0,700], qui contient 0,401). Ils ne rapportent pas cette comparaison.</w:t>
      </w:r>
    </w:p>
    <w:p>
      <w:pPr>
        <w:spacing w:before="80" w:after="160"/>
      </w:pPr>
      <w:r>
        <w:rPr>
          <w:b/>
          <w:color w:val="991B1B"/>
        </w:rPr>
        <w:t xml:space="preserve">Attention : </w:t>
      </w:r>
      <w:r>
        <w:t>Ces trois constats ne se compensent pas. Le premier est une faiblesse de notre travail, le deuxième un mérite du leur, le troisième une faiblesse du leur. Un jury qui n'entend que le troisième conclura que nous cherchons une excuse.</w:t>
      </w:r>
    </w:p>
    <w:p>
      <w:r>
        <w:br w:type="page"/>
      </w:r>
    </w:p>
    <w:p>
      <w:pPr>
        <w:pStyle w:val="Heading1"/>
      </w:pPr>
      <w:r>
        <w:rPr>
          <w:color w:val="1E3A8A"/>
        </w:rPr>
        <w:t>Partie I — Autocritique : ce qui ne va pas dans notre démarche</w:t>
      </w:r>
    </w:p>
    <w:p>
      <w:r>
        <w:rPr>
          <w:i w:val="0"/>
          <w:sz w:val="22"/>
        </w:rPr>
        <w:t>Les griefs sont classés par gravité décroissante. Les quatre premiers suffisent à expliquer l'écart de résultat ; les suivants sont réels mais secondaires.</w:t>
      </w:r>
    </w:p>
    <w:p>
      <w:r>
        <w:rPr>
          <w:b/>
          <w:color w:val="1E3A8A"/>
          <w:sz w:val="24"/>
        </w:rPr>
        <w:t>C1. Nous avons enrichi les variables sans toucher au goulot d'étranglement</w:t>
      </w:r>
    </w:p>
    <w:p>
      <w:pPr>
        <w:spacing w:after="60"/>
      </w:pPr>
      <w:r>
        <w:rPr>
          <w:b/>
          <w:sz w:val="20"/>
        </w:rPr>
        <w:t xml:space="preserve">Constat — </w:t>
      </w:r>
      <w:r>
        <w:rPr>
          <w:sz w:val="20"/>
        </w:rPr>
        <w:t>Le projet a ajouté trois familles de variables (synchronisation, complexité, harmoniques 3-6-9) en conservant intacte la chaîne d'extraction spectrale : Welch sur des époques de 8 s, puissances relatives moyennées canal par canal. L'article ne fait rien de tel : il ne découpe pas en époques, il calcule des matrices de covariance sur l'enregistrement entier.</w:t>
      </w:r>
    </w:p>
    <w:p>
      <w:pPr>
        <w:spacing w:after="60"/>
      </w:pPr>
      <w:r>
        <w:rPr>
          <w:b/>
          <w:sz w:val="20"/>
        </w:rPr>
        <w:t xml:space="preserve">Conséquence — </w:t>
      </w:r>
      <w:r>
        <w:rPr>
          <w:sz w:val="20"/>
        </w:rPr>
        <w:t>Ajouter des colonnes en amont d'un front-end qui a déjà détruit l'information ne peut pas récupérer cette information. Nos onze barreaux d'ablation sont tous au hasard, ce qui est cohérent avec « la réponse n'est pas prédictible » mais tout autant avec « notre représentation ne la porte pas ».</w:t>
      </w:r>
    </w:p>
    <w:p>
      <w:pPr>
        <w:spacing w:after="60"/>
      </w:pPr>
      <w:r>
        <w:rPr>
          <w:b/>
          <w:sz w:val="20"/>
        </w:rPr>
        <w:t xml:space="preserve">Correctif — </w:t>
      </w:r>
      <w:r>
        <w:rPr>
          <w:sz w:val="20"/>
        </w:rPr>
        <w:t>Changer de représentation avant d'ajouter quoi que ce soit d'autre. Voir la voie A1 en partie III.</w:t>
      </w:r>
    </w:p>
    <w:p/>
    <w:p>
      <w:r>
        <w:rPr>
          <w:b/>
          <w:color w:val="1E3A8A"/>
          <w:sz w:val="24"/>
        </w:rPr>
        <w:t>C2. Aucun rejet d'artefacts, sur des données brutes non nettoyées</w:t>
      </w:r>
    </w:p>
    <w:p>
      <w:pPr>
        <w:spacing w:after="60"/>
      </w:pPr>
      <w:r>
        <w:rPr>
          <w:b/>
          <w:sz w:val="20"/>
        </w:rPr>
        <w:t xml:space="preserve">Constat — </w:t>
      </w:r>
      <w:r>
        <w:rPr>
          <w:sz w:val="20"/>
        </w:rPr>
        <w:t>TDBRAIN est distribué en BDF brut, non filtré. Notre chaîne applique un notch 50 Hz, un passe-bande 0,01–50 Hz et une référence moyenne — et rien d'autre. Pas d'ICA, pas d'interpolation de canaux défectueux, pas de rejet de segments. L'article fait les trois. Les fichiers contiennent pourtant 4 voies EOG et une voie EMG que nous n'utilisons jamais.</w:t>
      </w:r>
    </w:p>
    <w:p>
      <w:pPr>
        <w:spacing w:after="60"/>
      </w:pPr>
      <w:r>
        <w:rPr>
          <w:b/>
          <w:sz w:val="20"/>
        </w:rPr>
        <w:t xml:space="preserve">Conséquence — </w:t>
      </w:r>
      <w:r>
        <w:rPr>
          <w:sz w:val="20"/>
        </w:rPr>
        <w:t>Les clignements oculaires dominent les électrodes frontales — exactement là où un effet lié à la stimulation du DLPFC devrait apparaître. Notre asymétrie alpha frontale, notre PLV frontal et notre pente 1/f frontale sont donc probablement mesurés sur de l'artefact oculaire autant que sur du signal cortical.</w:t>
      </w:r>
    </w:p>
    <w:p>
      <w:pPr>
        <w:spacing w:after="60"/>
      </w:pPr>
      <w:r>
        <w:rPr>
          <w:b/>
          <w:sz w:val="20"/>
        </w:rPr>
        <w:t xml:space="preserve">Correctif — </w:t>
      </w:r>
      <w:r>
        <w:rPr>
          <w:sz w:val="20"/>
        </w:rPr>
        <w:t>ICA avec classification automatique des composantes (mne-icalabel), interpolation par splines sphériques, rejet de segments par seuillage. C'est la parité minimale sans laquelle aucune comparaison n'est recevable.</w:t>
      </w:r>
    </w:p>
    <w:p/>
    <w:p>
      <w:r>
        <w:rPr>
          <w:b/>
          <w:color w:val="1E3A8A"/>
          <w:sz w:val="24"/>
        </w:rPr>
        <w:t>C3. Nous jetons toute la structure spatiale du signal</w:t>
      </w:r>
    </w:p>
    <w:p>
      <w:pPr>
        <w:spacing w:after="60"/>
      </w:pPr>
      <w:r>
        <w:rPr>
          <w:b/>
          <w:sz w:val="20"/>
        </w:rPr>
        <w:t xml:space="preserve">Constat — </w:t>
      </w:r>
      <w:r>
        <w:rPr>
          <w:sz w:val="20"/>
        </w:rPr>
        <w:t>Une puissance de bande moyennée par canal est un scalaire par (canal, bande). La covariance entre canaux — ce que l'article donne à manger à SBLEST — est une matrice 26×26 par sous-bande. En moyennant, nous supprimons tous les termes croisés, c'est-à-dire toute l'information de mélange spatial des sources.</w:t>
      </w:r>
    </w:p>
    <w:p>
      <w:pPr>
        <w:spacing w:after="60"/>
      </w:pPr>
      <w:r>
        <w:rPr>
          <w:b/>
          <w:sz w:val="20"/>
        </w:rPr>
        <w:t xml:space="preserve">Conséquence — </w:t>
      </w:r>
      <w:r>
        <w:rPr>
          <w:sz w:val="20"/>
        </w:rPr>
        <w:t>Les filtres spatiaux (CSP, SBLEST, géométrie riemannienne) sont l'état de l'art précisément parce que cette information croisée est celle qui porte le signal en EEG. Nos blocs de connectivité (PLV, cohérence) captent une partie de cette structure, mais agrégée en 30 scalaires — une compression bien plus brutale qu'une covariance.</w:t>
      </w:r>
    </w:p>
    <w:p>
      <w:pPr>
        <w:spacing w:after="60"/>
      </w:pPr>
      <w:r>
        <w:rPr>
          <w:b/>
          <w:sz w:val="20"/>
        </w:rPr>
        <w:t xml:space="preserve">Correctif — </w:t>
      </w:r>
      <w:r>
        <w:rPr>
          <w:sz w:val="20"/>
        </w:rPr>
        <w:t>Passer aux matrices de covariance et à l'espace tangent riemannien (bibliothèque pyriemann). Voie A1.</w:t>
      </w:r>
    </w:p>
    <w:p/>
    <w:p>
      <w:r>
        <w:rPr>
          <w:b/>
          <w:color w:val="1E3A8A"/>
          <w:sz w:val="24"/>
        </w:rPr>
        <w:t>C4. Le LSTM est le mauvais modèle, et il l'est doublement</w:t>
      </w:r>
    </w:p>
    <w:p>
      <w:pPr>
        <w:spacing w:after="60"/>
      </w:pPr>
      <w:r>
        <w:rPr>
          <w:b/>
          <w:sz w:val="20"/>
        </w:rPr>
        <w:t xml:space="preserve">Constat — </w:t>
      </w:r>
      <w:r>
        <w:rPr>
          <w:sz w:val="20"/>
        </w:rPr>
        <w:t>Notre architecture est un LSTM 128→64, soit environ 90 000 paramètres, entraîné sur 44 patients pour le protocole 1. Cela fait de l'ordre de 2 000 paramètres par patient. Par ailleurs, l'axe « séquence » que le LSTM est censé exploiter est constitué de 8 époques du même enregistrement de repos : ces époques sont échangeables, il n'y a aucune dynamique temporelle à modéliser.</w:t>
      </w:r>
    </w:p>
    <w:p>
      <w:pPr>
        <w:spacing w:after="60"/>
      </w:pPr>
      <w:r>
        <w:rPr>
          <w:b/>
          <w:sz w:val="20"/>
        </w:rPr>
        <w:t xml:space="preserve">Conséquence — </w:t>
      </w:r>
      <w:r>
        <w:rPr>
          <w:sz w:val="20"/>
        </w:rPr>
        <w:t>Un modèle récurrent sur des observations échangeables n'apporte rien qu'une moyenne n'apporterait, et paie ce non-apport en variance. L'article utilise un modèle linéaire bayésien parcimonieux — ce qui est le bon régime pour p ≫ n.</w:t>
      </w:r>
    </w:p>
    <w:p>
      <w:pPr>
        <w:spacing w:after="60"/>
      </w:pPr>
      <w:r>
        <w:rPr>
          <w:b/>
          <w:sz w:val="20"/>
        </w:rPr>
        <w:t xml:space="preserve">Correctif — </w:t>
      </w:r>
      <w:r>
        <w:rPr>
          <w:sz w:val="20"/>
        </w:rPr>
        <w:t>Remplacer le LSTM par une régression ridge / elastic-net ou un SVR sur les variables agrégées au niveau patient. Conserver le LSTM uniquement pour la cohorte séquentielle simulée, où il y a une vraie trajectoire.</w:t>
      </w:r>
    </w:p>
    <w:p/>
    <w:p>
      <w:r>
        <w:rPr>
          <w:b/>
          <w:color w:val="1E3A8A"/>
          <w:sz w:val="24"/>
        </w:rPr>
        <w:t>C5. Aucun réglage d'hyperparamètres, jamais</w:t>
      </w:r>
    </w:p>
    <w:p>
      <w:pPr>
        <w:spacing w:after="60"/>
      </w:pPr>
      <w:r>
        <w:rPr>
          <w:b/>
          <w:sz w:val="20"/>
        </w:rPr>
        <w:t xml:space="preserve">Constat — </w:t>
      </w:r>
      <w:r>
        <w:rPr>
          <w:sz w:val="20"/>
        </w:rPr>
        <w:t>Tous les barreaux tournent avec les mêmes valeurs figées : 30 époques d'entraînement, lr = 1e-3, dropout 0,3, couches (128, 64). Aucune recherche, aucune validation croisée imbriquée pour la sélection de modèle.</w:t>
      </w:r>
    </w:p>
    <w:p>
      <w:pPr>
        <w:spacing w:after="60"/>
      </w:pPr>
      <w:r>
        <w:rPr>
          <w:b/>
          <w:sz w:val="20"/>
        </w:rPr>
        <w:t xml:space="preserve">Conséquence — </w:t>
      </w:r>
      <w:r>
        <w:rPr>
          <w:sz w:val="20"/>
        </w:rPr>
        <w:t>Un « au niveau du hasard » obtenu avec un seul jeu d'hyperparamètres non réglés est un résultat plus faible qu'il n'y paraît : il ne distingue pas l'absence de signal d'un sous-apprentissage.</w:t>
      </w:r>
    </w:p>
    <w:p>
      <w:pPr>
        <w:spacing w:after="60"/>
      </w:pPr>
      <w:r>
        <w:rPr>
          <w:b/>
          <w:sz w:val="20"/>
        </w:rPr>
        <w:t xml:space="preserve">Correctif — </w:t>
      </w:r>
      <w:r>
        <w:rPr>
          <w:sz w:val="20"/>
        </w:rPr>
        <w:t>Validation croisée imbriquée : boucle interne pour les hyperparamètres, boucle externe pour l'estimation. Avec un modèle linéaire régularisé, c'est une seule valeur (α) à régler et le coût reste négligeable.</w:t>
      </w:r>
    </w:p>
    <w:p/>
    <w:p>
      <w:r>
        <w:rPr>
          <w:b/>
          <w:color w:val="1E3A8A"/>
          <w:sz w:val="24"/>
        </w:rPr>
        <w:t>C6. p ≫ n sans régularisation ni réduction de dimension</w:t>
      </w:r>
    </w:p>
    <w:p>
      <w:pPr>
        <w:spacing w:after="60"/>
      </w:pPr>
      <w:r>
        <w:rPr>
          <w:b/>
          <w:sz w:val="20"/>
        </w:rPr>
        <w:t xml:space="preserve">Constat — </w:t>
      </w:r>
      <w:r>
        <w:rPr>
          <w:sz w:val="20"/>
        </w:rPr>
        <w:t>130 variables EEG pour 44 patients au protocole 1 ; 179 pour le barreau complet. Le seul mécanisme de régularisation est le dropout du LSTM, qui n'est pas une pénalité sur la norme des coefficients.</w:t>
      </w:r>
    </w:p>
    <w:p>
      <w:pPr>
        <w:spacing w:after="60"/>
      </w:pPr>
      <w:r>
        <w:rPr>
          <w:b/>
          <w:sz w:val="20"/>
        </w:rPr>
        <w:t xml:space="preserve">Conséquence — </w:t>
      </w:r>
      <w:r>
        <w:rPr>
          <w:sz w:val="20"/>
        </w:rPr>
        <w:t>Dans ce régime, un modèle non contraint apprend du bruit. C'est cohérent avec ce que nous observons : les prédictions sont quasi-constantes (écart-type de 0,12 à 1,8 point de BDI-II contre 12,75 pour la cible) et tous les R² sont négatifs.</w:t>
      </w:r>
    </w:p>
    <w:p>
      <w:pPr>
        <w:spacing w:after="60"/>
      </w:pPr>
      <w:r>
        <w:rPr>
          <w:b/>
          <w:sz w:val="20"/>
        </w:rPr>
        <w:t xml:space="preserve">Correctif — </w:t>
      </w:r>
      <w:r>
        <w:rPr>
          <w:sz w:val="20"/>
        </w:rPr>
        <w:t>Pénalisation explicite (L2 / elastic-net), et réduction de dimension ajustée à l'intérieur du pli (PCA, ou filtre univarié). Jamais sur la cohorte entière — ce serait une fuite.</w:t>
      </w:r>
    </w:p>
    <w:p/>
    <w:p>
      <w:r>
        <w:rPr>
          <w:b/>
          <w:color w:val="1E3A8A"/>
          <w:sz w:val="24"/>
        </w:rPr>
        <w:t>C7. Nous n'utilisons qu'une fraction de l'enregistrement, et une seule condition</w:t>
      </w:r>
    </w:p>
    <w:p>
      <w:pPr>
        <w:spacing w:after="60"/>
      </w:pPr>
      <w:r>
        <w:rPr>
          <w:b/>
          <w:sz w:val="20"/>
        </w:rPr>
        <w:t xml:space="preserve">Constat — </w:t>
      </w:r>
      <w:r>
        <w:rPr>
          <w:sz w:val="20"/>
        </w:rPr>
        <w:t>8 époques × 8 s = 64 s exploitées sur environ 120 s disponibles. Et uniquement la condition yeux ouverts (EO) : la condition yeux fermés (EC) est chargée par le loader mais jamais évaluée, ni séparément ni en combinaison.</w:t>
      </w:r>
    </w:p>
    <w:p>
      <w:pPr>
        <w:spacing w:after="60"/>
      </w:pPr>
      <w:r>
        <w:rPr>
          <w:b/>
          <w:sz w:val="20"/>
        </w:rPr>
        <w:t xml:space="preserve">Conséquence — </w:t>
      </w:r>
      <w:r>
        <w:rPr>
          <w:sz w:val="20"/>
        </w:rPr>
        <w:t>Une covariance estimée sur 120 s est nettement mieux conditionnée que sur 8 s. Par ailleurs le rythme alpha — l'oscillation que l'article désigne comme la plus prédictive dans les deux protocoles — est beaucoup plus marqué en EC.</w:t>
      </w:r>
    </w:p>
    <w:p>
      <w:pPr>
        <w:spacing w:after="60"/>
      </w:pPr>
      <w:r>
        <w:rPr>
          <w:b/>
          <w:sz w:val="20"/>
        </w:rPr>
        <w:t xml:space="preserve">Correctif — </w:t>
      </w:r>
      <w:r>
        <w:rPr>
          <w:sz w:val="20"/>
        </w:rPr>
        <w:t>Estimer les statistiques sur l'enregistrement complet, et traiter EO et EC comme deux vues à comparer puis éventuellement à concaténer.</w:t>
      </w:r>
    </w:p>
    <w:p/>
    <w:p>
      <w:r>
        <w:rPr>
          <w:b/>
          <w:color w:val="1E3A8A"/>
          <w:sz w:val="24"/>
        </w:rPr>
        <w:t>C8. Nous produisons deux jeux de chiffres incohérents entre eux</w:t>
      </w:r>
    </w:p>
    <w:p>
      <w:pPr>
        <w:spacing w:after="60"/>
      </w:pPr>
      <w:r>
        <w:rPr>
          <w:b/>
          <w:sz w:val="20"/>
        </w:rPr>
        <w:t xml:space="preserve">Constat — </w:t>
      </w:r>
      <w:r>
        <w:rPr>
          <w:sz w:val="20"/>
        </w:rPr>
        <w:t>Le bras article (article_comparison.json, 10 × 10-fold, sans standardisation) donne r = -0.373 pour le protocole 1 en EEG seul. L'échelle d'ablation (5-fold, avec standardisation) donne +0,096 pour la même cellule. Les deux ne diffèrent que par le nombre de plis et la standardisation, et ils sont de signe opposé.</w:t>
      </w:r>
    </w:p>
    <w:p>
      <w:pPr>
        <w:spacing w:after="60"/>
      </w:pPr>
      <w:r>
        <w:rPr>
          <w:b/>
          <w:sz w:val="20"/>
        </w:rPr>
        <w:t xml:space="preserve">Conséquence — </w:t>
      </w:r>
      <w:r>
        <w:rPr>
          <w:sz w:val="20"/>
        </w:rPr>
        <w:t>Nous avons rapporté honnêtement ce désaccord, mais il signifie que nous n'avons pas UN jeu de résultats : nous en avons deux, et rien ne dit lequel citer. C'est exactement l'instabilité que r_stability quantifie, mais un lecteur pressé y verra de l'inconstance.</w:t>
      </w:r>
    </w:p>
    <w:p>
      <w:pPr>
        <w:spacing w:after="60"/>
      </w:pPr>
      <w:r>
        <w:rPr>
          <w:b/>
          <w:sz w:val="20"/>
        </w:rPr>
        <w:t xml:space="preserve">Correctif — </w:t>
      </w:r>
      <w:r>
        <w:rPr>
          <w:sz w:val="20"/>
        </w:rPr>
        <w:t>Fixer un protocole unique — 10 × 10-fold, standardisation dans le pli, modèle linéaire régularisé — et régénérer tous les chiffres avec lui. Un seul tableau, une seule configuration.</w:t>
      </w:r>
    </w:p>
    <w:p/>
    <w:p>
      <w:r>
        <w:rPr>
          <w:b/>
          <w:color w:val="1E3A8A"/>
          <w:sz w:val="24"/>
        </w:rPr>
        <w:t>C9. Le budget a été dépensé sur la mauvaise hypothèse</w:t>
      </w:r>
    </w:p>
    <w:p>
      <w:pPr>
        <w:spacing w:after="60"/>
      </w:pPr>
      <w:r>
        <w:rPr>
          <w:b/>
          <w:sz w:val="20"/>
        </w:rPr>
        <w:t xml:space="preserve">Constat — </w:t>
      </w:r>
      <w:r>
        <w:rPr>
          <w:sz w:val="20"/>
        </w:rPr>
        <w:t>Nous avons implémenté, testé et réfuté l'hypothèse harmonique 3-6-9 avec un protocole complet (grille de f₀, criblage univarié, correction FDR, ablation dédiée). Elle n'a jamais été plausible sur le plan physiologique.</w:t>
      </w:r>
    </w:p>
    <w:p>
      <w:pPr>
        <w:spacing w:after="60"/>
      </w:pPr>
      <w:r>
        <w:rPr>
          <w:b/>
          <w:sz w:val="20"/>
        </w:rPr>
        <w:t xml:space="preserve">Conséquence — </w:t>
      </w:r>
      <w:r>
        <w:rPr>
          <w:sz w:val="20"/>
        </w:rPr>
        <w:t>Le barreau complet passe de 0,4667 à 0,4684 en AUC avec l'ajout du bloc harmonique : +0,0017. Ce travail était méthodologiquement propre et scientifiquement sans enjeu. Le même effort investi dans l'ICA aurait été plus utile.</w:t>
      </w:r>
    </w:p>
    <w:p>
      <w:pPr>
        <w:spacing w:after="60"/>
      </w:pPr>
      <w:r>
        <w:rPr>
          <w:b/>
          <w:sz w:val="20"/>
        </w:rPr>
        <w:t xml:space="preserve">Correctif — </w:t>
      </w:r>
      <w:r>
        <w:rPr>
          <w:sz w:val="20"/>
        </w:rPr>
        <w:t>Conserver la réfutation — elle est acquise et vaut comme démonstration de rigueur — mais ne pas la présenter comme un apport scientifique. Reclasser le budget vers les voies A1 et A2.</w:t>
      </w:r>
    </w:p>
    <w:p/>
    <w:p>
      <w:r>
        <w:rPr>
          <w:b/>
          <w:color w:val="1E3A8A"/>
          <w:sz w:val="24"/>
        </w:rPr>
        <w:t>C10. Notre contrôle positif est réel mais trop facile</w:t>
      </w:r>
    </w:p>
    <w:p>
      <w:pPr>
        <w:spacing w:after="60"/>
      </w:pPr>
      <w:r>
        <w:rPr>
          <w:b/>
          <w:sz w:val="20"/>
        </w:rPr>
        <w:t xml:space="preserve">Constat — </w:t>
      </w:r>
      <w:r>
        <w:rPr>
          <w:sz w:val="20"/>
        </w:rPr>
        <w:t>Les trois effets d'âge sont bien retrouvés (pente 1/f r = −0,335 ; fréquence alpha individuelle r = −0,174 ; PLV alpha r = −0,295). Mais l'âge est une variable massive, globale et fortement encodée dans l'EEG.</w:t>
      </w:r>
    </w:p>
    <w:p>
      <w:pPr>
        <w:spacing w:after="60"/>
      </w:pPr>
      <w:r>
        <w:rPr>
          <w:b/>
          <w:sz w:val="20"/>
        </w:rPr>
        <w:t xml:space="preserve">Conséquence — </w:t>
      </w:r>
      <w:r>
        <w:rPr>
          <w:sz w:val="20"/>
        </w:rPr>
        <w:t>Prouver qu'une chaîne détecte l'âge ne prouve pas qu'elle a le rapport signal/bruit nécessaire pour détecter un effet de réponse au traitement, qui est d'un ordre de grandeur plus subtil.</w:t>
      </w:r>
    </w:p>
    <w:p>
      <w:pPr>
        <w:spacing w:after="60"/>
      </w:pPr>
      <w:r>
        <w:rPr>
          <w:b/>
          <w:sz w:val="20"/>
        </w:rPr>
        <w:t xml:space="preserve">Correctif — </w:t>
      </w:r>
      <w:r>
        <w:rPr>
          <w:sz w:val="20"/>
        </w:rPr>
        <w:t>Ajouter un contrôle positif de difficulté intermédiaire : la classification MDD contre témoins sains avec la même chaîne (documentée à AUC ≈ 0,86 avec de simples puissances de bande). Elle exige de charger les témoins depuis le téléchargement complet TDBRAIN V3,1, absents du paquet rTMS.</w:t>
      </w:r>
    </w:p>
    <w:p/>
    <w:p>
      <w:r>
        <w:rPr>
          <w:b/>
          <w:color w:val="1E3A8A"/>
          <w:sz w:val="24"/>
        </w:rPr>
        <w:t>C11. Nous n'avons pas testé les biomarqueurs que la littérature valide</w:t>
      </w:r>
    </w:p>
    <w:p>
      <w:pPr>
        <w:spacing w:after="60"/>
      </w:pPr>
      <w:r>
        <w:rPr>
          <w:b/>
          <w:sz w:val="20"/>
        </w:rPr>
        <w:t xml:space="preserve">Constat — </w:t>
      </w:r>
      <w:r>
        <w:rPr>
          <w:sz w:val="20"/>
        </w:rPr>
        <w:t>Trois marqueurs disposent d'une évidence répliquée pour la réponse antidépressive et rTMS : la cordance thêta préfrontale (méta-analyse de vingt études, 2024), la fréquence alpha individuelle stratifiée selon Arns, et les microétats EEG. Nous ne calculons aucune cordance, aucun microétat, et nous utilisons la fréquence alpha comme une colonne parmi 179 au lieu de tester l'hypothèse de stratification qui la rend prédictive.</w:t>
      </w:r>
    </w:p>
    <w:p>
      <w:pPr>
        <w:spacing w:after="60"/>
      </w:pPr>
      <w:r>
        <w:rPr>
          <w:b/>
          <w:sz w:val="20"/>
        </w:rPr>
        <w:t xml:space="preserve">Conséquence — </w:t>
      </w:r>
      <w:r>
        <w:rPr>
          <w:sz w:val="20"/>
        </w:rPr>
        <w:t>Nous avons construit des variables issues d'équations proposées et ignoré celles que le domaine a déjà validées. C'est le reproche le plus facile à formuler contre notre démarche, et le plus difficile à réfuter.</w:t>
      </w:r>
    </w:p>
    <w:p>
      <w:pPr>
        <w:spacing w:after="60"/>
      </w:pPr>
      <w:r>
        <w:rPr>
          <w:b/>
          <w:sz w:val="20"/>
        </w:rPr>
        <w:t xml:space="preserve">Correctif — </w:t>
      </w:r>
      <w:r>
        <w:rPr>
          <w:sz w:val="20"/>
        </w:rPr>
        <w:t>Implémenter la cordance thêta et le test de stratification IAPF avant toute nouvelle famille exploratoire. Voir voies B1 et B2.</w:t>
      </w:r>
    </w:p>
    <w:p/>
    <w:p>
      <w:r>
        <w:rPr>
          <w:b/>
          <w:color w:val="1E3A8A"/>
          <w:sz w:val="24"/>
        </w:rPr>
        <w:t>C12. La cohorte n'est pas alignée, et nous n'avons pas de contrôle qualité</w:t>
      </w:r>
    </w:p>
    <w:p>
      <w:pPr>
        <w:spacing w:after="60"/>
      </w:pPr>
      <w:r>
        <w:rPr>
          <w:b/>
          <w:sz w:val="20"/>
        </w:rPr>
        <w:t xml:space="preserve">Constat — </w:t>
      </w:r>
      <w:r>
        <w:rPr>
          <w:sz w:val="20"/>
        </w:rPr>
        <w:t>Nous conservons 132 patients (44 + 88) là où l'article en garde 117 (44 + 73). Le protocole 1 correspond exactement ; les 15 patients supplémentaires du protocole 2 sont écartés par un contrôle qualité EEG que l'article n'énumère pas.</w:t>
      </w:r>
    </w:p>
    <w:p>
      <w:pPr>
        <w:spacing w:after="60"/>
      </w:pPr>
      <w:r>
        <w:rPr>
          <w:b/>
          <w:sz w:val="20"/>
        </w:rPr>
        <w:t xml:space="preserve">Conséquence — </w:t>
      </w:r>
      <w:r>
        <w:rPr>
          <w:sz w:val="20"/>
        </w:rPr>
        <w:t>Garder tout le monde est défendable en soi, mais combiné au grief C2 (aucun rejet d'artefact) cela signifie que notre protocole 2 contient vraisemblablement les enregistrements les plus bruités de la cohorte, traités sans nettoyage. Ce n'est plus de l'honnêteté, c'est un désavantage cumulé.</w:t>
      </w:r>
    </w:p>
    <w:p>
      <w:pPr>
        <w:spacing w:after="60"/>
      </w:pPr>
      <w:r>
        <w:rPr>
          <w:b/>
          <w:sz w:val="20"/>
        </w:rPr>
        <w:t xml:space="preserve">Correctif — </w:t>
      </w:r>
      <w:r>
        <w:rPr>
          <w:sz w:val="20"/>
        </w:rPr>
        <w:t>Appliquer notre propre contrôle qualité, explicite et documenté, puis rapporter les résultats avec et sans. Si les 15 patients disparaissent d'eux-mêmes, la question est réglée sans avoir ajusté la cohorte au résultat.</w:t>
      </w:r>
    </w:p>
    <w:p/>
    <w:p>
      <w:r>
        <w:br w:type="page"/>
      </w:r>
    </w:p>
    <w:p>
      <w:pPr>
        <w:pStyle w:val="Heading1"/>
      </w:pPr>
      <w:r>
        <w:rPr>
          <w:color w:val="1E3A8A"/>
        </w:rPr>
        <w:t>Partie II — Critique de l'étude de référence</w:t>
      </w:r>
    </w:p>
    <w:p>
      <w:r>
        <w:rPr>
          <w:i w:val="0"/>
          <w:sz w:val="22"/>
        </w:rPr>
        <w:t>Cette partie n'a de valeur que si la partie I a été lue. Les reproches ci-dessous sont réels, mais ils ne transforment pas notre résultat nul en résultat positif.</w:t>
      </w:r>
    </w:p>
    <w:p>
      <w:r>
        <w:rPr>
          <w:b/>
          <w:color w:val="1E3A8A"/>
          <w:sz w:val="24"/>
        </w:rPr>
        <w:t>C13. Le p rapporté ne survivrait pas à une correction pour comparaisons multiples</w:t>
      </w:r>
    </w:p>
    <w:p>
      <w:pPr>
        <w:spacing w:after="60"/>
      </w:pPr>
      <w:r>
        <w:rPr>
          <w:b/>
          <w:sz w:val="20"/>
        </w:rPr>
        <w:t xml:space="preserve">Constat — </w:t>
      </w:r>
      <w:r>
        <w:rPr>
          <w:sz w:val="20"/>
        </w:rPr>
        <w:t>L'article évalue quatre méthodes (SBLEST seul, SBLEST + filtrage par bande, régression ridge + itEMD, EMD-SBL) sur deux protocoles et deux conditions oculaires, soit au minimum seize combinaisons. Aucune correction n'est mentionnée.</w:t>
      </w:r>
    </w:p>
    <w:p>
      <w:pPr>
        <w:spacing w:after="60"/>
      </w:pPr>
      <w:r>
        <w:rPr>
          <w:b/>
          <w:sz w:val="20"/>
        </w:rPr>
        <w:t xml:space="preserve">Conséquence — </w:t>
      </w:r>
      <w:r>
        <w:rPr>
          <w:sz w:val="20"/>
        </w:rPr>
        <w:t>Le résultat phare, p = 0,00703, devient p ≈ 0,112 après Bonferroni sur seize tests. Le protocole 2, p = 0,0292, devient p ≈ 0,467. Sous correction, aucun des deux résultats n'est significatif.</w:t>
      </w:r>
    </w:p>
    <w:p>
      <w:pPr>
        <w:spacing w:after="60"/>
      </w:pPr>
      <w:r>
        <w:rPr>
          <w:b/>
          <w:sz w:val="20"/>
        </w:rPr>
        <w:t xml:space="preserve">Correctif — </w:t>
      </w:r>
      <w:r>
        <w:rPr>
          <w:sz w:val="20"/>
        </w:rPr>
        <w:t>Rapporter le nombre exact de configurations évaluées et corriger, ou pré-enregistrer la configuration retenue. C'est précisément la discipline que notre criblage FDR applique.</w:t>
      </w:r>
    </w:p>
    <w:p/>
    <w:p>
      <w:r>
        <w:rPr>
          <w:b/>
          <w:color w:val="1E3A8A"/>
          <w:sz w:val="24"/>
        </w:rPr>
        <w:t>C14. Trois méthodes sur quatre échouent, ce qui rend la quatrième fragile</w:t>
      </w:r>
    </w:p>
    <w:p>
      <w:pPr>
        <w:spacing w:after="60"/>
      </w:pPr>
      <w:r>
        <w:rPr>
          <w:b/>
          <w:sz w:val="20"/>
        </w:rPr>
        <w:t xml:space="preserve">Constat — </w:t>
      </w:r>
      <w:r>
        <w:rPr>
          <w:sz w:val="20"/>
        </w:rPr>
        <w:t>Les auteurs indiquent explicitement que seule leur méthode atteint la significativité, « comparée à SBLEST + filtrage par bande, SBLEST seul et régression ridge + itEMD ».</w:t>
      </w:r>
    </w:p>
    <w:p>
      <w:pPr>
        <w:spacing w:after="60"/>
      </w:pPr>
      <w:r>
        <w:rPr>
          <w:b/>
          <w:sz w:val="20"/>
        </w:rPr>
        <w:t xml:space="preserve">Conséquence — </w:t>
      </w:r>
      <w:r>
        <w:rPr>
          <w:sz w:val="20"/>
        </w:rPr>
        <w:t>Un effet réel et robuste devrait apparaître, atténué, dans les variantes voisines. Qu'il ne survive qu'à une combinaison précise est le profil attendu d'un résultat de sélection plutôt que d'un signal.</w:t>
      </w:r>
    </w:p>
    <w:p>
      <w:pPr>
        <w:spacing w:after="60"/>
      </w:pPr>
      <w:r>
        <w:rPr>
          <w:b/>
          <w:sz w:val="20"/>
        </w:rPr>
        <w:t xml:space="preserve">Correctif — </w:t>
      </w:r>
      <w:r>
        <w:rPr>
          <w:sz w:val="20"/>
        </w:rPr>
        <w:t>Exiger que le signal soit visible sur une famille de méthodes, pas sur une seule. Notre échelle d'ablation est construite pour cela : chaque barreau ne diffère du précédent que d'un bloc.</w:t>
      </w:r>
    </w:p>
    <w:p/>
    <w:p>
      <w:r>
        <w:rPr>
          <w:b/>
          <w:color w:val="1E3A8A"/>
          <w:sz w:val="24"/>
        </w:rPr>
        <w:t>C15. La sévérité initiale n'est jamais contrôlée</w:t>
      </w:r>
    </w:p>
    <w:p>
      <w:pPr>
        <w:spacing w:after="60"/>
      </w:pPr>
      <w:r>
        <w:rPr>
          <w:b/>
          <w:sz w:val="20"/>
        </w:rPr>
        <w:t xml:space="preserve">Constat — </w:t>
      </w:r>
      <w:r>
        <w:rPr>
          <w:sz w:val="20"/>
        </w:rPr>
        <w:t>La cible est le ΔBDI-II brut (pré moins post). Le texte ne mentionne aucun ajustement sur le BDI-II initial, ni comme covariable, ni comme analyse de sensibilité, ni sous l'angle de la régression vers la moyenne.</w:t>
      </w:r>
    </w:p>
    <w:p>
      <w:pPr>
        <w:spacing w:after="60"/>
      </w:pPr>
      <w:r>
        <w:rPr>
          <w:b/>
          <w:sz w:val="20"/>
        </w:rPr>
        <w:t xml:space="preserve">Conséquence — </w:t>
      </w:r>
      <w:r>
        <w:rPr>
          <w:sz w:val="20"/>
        </w:rPr>
        <w:t>Sur les mêmes 44 patients du protocole 1, le BDI-II initial seul, sans aucun modèle et sans aucun EEG, corrèle à r = 0,500 avec cette cible (IC95 [0,258, 0,700]). Cet intervalle contient leur 0,401 : leur modèle EEG ne se distingue pas d'une variable du formulaire d'admission. C'est un effet de régression vers la moyenne bien documenté en psychiatrie.</w:t>
      </w:r>
    </w:p>
    <w:p>
      <w:pPr>
        <w:spacing w:after="60"/>
      </w:pPr>
      <w:r>
        <w:rPr>
          <w:b/>
          <w:sz w:val="20"/>
        </w:rPr>
        <w:t xml:space="preserve">Correctif — </w:t>
      </w:r>
      <w:r>
        <w:rPr>
          <w:sz w:val="20"/>
        </w:rPr>
        <w:t>Rapporter systématiquement la référence triviale, ou changer de cible pour le pourcentage de réduction, où le couplage tombe à r = 0,156 (p = 0,313) sur cette cohorte.</w:t>
      </w:r>
    </w:p>
    <w:p/>
    <w:p>
      <w:r>
        <w:rPr>
          <w:b/>
          <w:color w:val="1E3A8A"/>
          <w:sz w:val="24"/>
        </w:rPr>
        <w:t>C16. Un r sans R² ni erreur absolue ne dit pas si la prédiction est utilisable</w:t>
      </w:r>
    </w:p>
    <w:p>
      <w:pPr>
        <w:spacing w:after="60"/>
      </w:pPr>
      <w:r>
        <w:rPr>
          <w:b/>
          <w:sz w:val="20"/>
        </w:rPr>
        <w:t xml:space="preserve">Constat — </w:t>
      </w:r>
      <w:r>
        <w:rPr>
          <w:sz w:val="20"/>
        </w:rPr>
        <w:t>L'article rapporte des corrélations de Pearson et des p de permutation. Ni R², ni RMSE, ni MAE.</w:t>
      </w:r>
    </w:p>
    <w:p>
      <w:pPr>
        <w:spacing w:after="60"/>
      </w:pPr>
      <w:r>
        <w:rPr>
          <w:b/>
          <w:sz w:val="20"/>
        </w:rPr>
        <w:t xml:space="preserve">Conséquence — </w:t>
      </w:r>
      <w:r>
        <w:rPr>
          <w:sz w:val="20"/>
        </w:rPr>
        <w:t>Une corrélation positive accompagnée d'un R² négatif signale un classement partiel, pas une prédiction : le modèle ordonne les patients un peu mieux que le hasard tout en étant moins bon que prédire la moyenne. C'est exactement ce que nous observons sur nos propres bras, et rien dans leur article ne permet d'exclure la même situation.</w:t>
      </w:r>
    </w:p>
    <w:p>
      <w:pPr>
        <w:spacing w:after="60"/>
      </w:pPr>
      <w:r>
        <w:rPr>
          <w:b/>
          <w:sz w:val="20"/>
        </w:rPr>
        <w:t xml:space="preserve">Correctif — </w:t>
      </w:r>
      <w:r>
        <w:rPr>
          <w:sz w:val="20"/>
        </w:rPr>
        <w:t>Rapporter R², MAE et l'écart-type des prédictions à côté du r. Sans ces trois nombres, un clinicien ne peut pas savoir ce que vaut la prédiction pour un patient donné.</w:t>
      </w:r>
    </w:p>
    <w:p/>
    <w:p>
      <w:r>
        <w:rPr>
          <w:b/>
          <w:color w:val="1E3A8A"/>
          <w:sz w:val="24"/>
        </w:rPr>
        <w:t>C17. Aucune validation externe, et des critères d'exclusion non énumérés</w:t>
      </w:r>
    </w:p>
    <w:p>
      <w:pPr>
        <w:spacing w:after="60"/>
      </w:pPr>
      <w:r>
        <w:rPr>
          <w:b/>
          <w:sz w:val="20"/>
        </w:rPr>
        <w:t xml:space="preserve">Constat — </w:t>
      </w:r>
      <w:r>
        <w:rPr>
          <w:sz w:val="20"/>
        </w:rPr>
        <w:t>Étude monocentrique sur une cohorte publique, sans réplication sur un échantillon indépendant. Les 15 patients du protocole 2 écartés ne sont pas identifiables à partir des métadonnées publiées.</w:t>
      </w:r>
    </w:p>
    <w:p>
      <w:pPr>
        <w:spacing w:after="60"/>
      </w:pPr>
      <w:r>
        <w:rPr>
          <w:b/>
          <w:sz w:val="20"/>
        </w:rPr>
        <w:t xml:space="preserve">Conséquence — </w:t>
      </w:r>
      <w:r>
        <w:rPr>
          <w:sz w:val="20"/>
        </w:rPr>
        <w:t>La revue de littérature sur la prédiction de réponse à la rTMS identifie l'absence de validation externe comme le défaut dominant du domaine : les études sont « essentiellement exploratoires ». Sans la liste des exclusions, leur protocole 2 n'est pas reproductible à l'identique.</w:t>
      </w:r>
    </w:p>
    <w:p>
      <w:pPr>
        <w:spacing w:after="60"/>
      </w:pPr>
      <w:r>
        <w:rPr>
          <w:b/>
          <w:sz w:val="20"/>
        </w:rPr>
        <w:t xml:space="preserve">Correctif — </w:t>
      </w:r>
      <w:r>
        <w:rPr>
          <w:sz w:val="20"/>
        </w:rPr>
        <w:t>Publier la liste des sujets exclus, ou un critère automatisable qui la régénère. C'est ce que nous exigerions de nous-mêmes (grief C12).</w:t>
      </w:r>
    </w:p>
    <w:p/>
    <w:p>
      <w:pPr>
        <w:spacing w:before="80" w:after="160"/>
      </w:pPr>
      <w:r>
        <w:rPr>
          <w:b/>
          <w:color w:val="B45309"/>
        </w:rPr>
        <w:t xml:space="preserve">Note : </w:t>
      </w:r>
      <w:r>
        <w:t>Ce qu'il ne faut pas leur reprocher : leur r = 0,401 dépasse le |r| maximal (0,229) que notre chaîne atteint sur des étiquettes aléatoires à n identique. Leur extraction capte donc bien quelque chose que la nôtre ne capte pas. Attribuer leur résultat au seul hasard serait faux, et un rapporteur le verrait.</w:t>
      </w:r>
    </w:p>
    <w:p>
      <w:r>
        <w:br w:type="page"/>
      </w:r>
    </w:p>
    <w:p>
      <w:pPr>
        <w:pStyle w:val="Heading1"/>
      </w:pPr>
      <w:r>
        <w:rPr>
          <w:color w:val="1E3A8A"/>
        </w:rPr>
        <w:t>Partie III — Voies d'amélioration</w:t>
      </w:r>
    </w:p>
    <w:p>
      <w:r>
        <w:rPr>
          <w:i w:val="0"/>
          <w:sz w:val="22"/>
        </w:rPr>
        <w:t>Classées par rapport gain attendu / coût. Les voies A sont des prérequis : tant qu'elles ne sont pas faites, aucune comparaison avec l'article n'est recevable, et les voies suivantes sont prématurées.</w:t>
      </w:r>
    </w:p>
    <w:p>
      <w:pPr>
        <w:pStyle w:val="Heading2"/>
      </w:pPr>
      <w:r>
        <w:rPr>
          <w:color w:val="1E3A8A"/>
        </w:rPr>
        <w:t>Niveau A — Parité méthodologique (prérequis)</w:t>
      </w:r>
    </w:p>
    <w:p>
      <w:r>
        <w:rPr>
          <w:b/>
          <w:color w:val="1E3A8A"/>
          <w:sz w:val="24"/>
        </w:rPr>
        <w:t>A0 — Nettoyage du signal : ICA, interpolation, rejet de segments</w:t>
      </w:r>
    </w:p>
    <w:p>
      <w:r>
        <w:rPr>
          <w:i/>
          <w:sz w:val="19"/>
        </w:rPr>
        <w:t>Coût : Faible (2–3 jours)   ·   Gain attendu : Élevé et certain</w:t>
      </w:r>
    </w:p>
    <w:p>
      <w:pPr>
        <w:pStyle w:val="ListBullet"/>
      </w:pPr>
      <w:r>
        <w:t>Interpolation par splines sphériques des canaux détectés défectueux par corrélation spatiale.</w:t>
      </w:r>
    </w:p>
    <w:p>
      <w:pPr>
        <w:pStyle w:val="ListBullet"/>
      </w:pPr>
      <w:r>
        <w:t>Rejet de segments par seuillage de l'amplitude, comme l'article.</w:t>
      </w:r>
    </w:p>
    <w:p>
      <w:pPr>
        <w:pStyle w:val="ListBullet"/>
      </w:pPr>
      <w:r>
        <w:t>ICA avec étiquetage automatique des composantes (mne-icalabel / ICLabel) pour retirer clignements, saccades, EMG et artefact cardiaque. Les 4 voies EOG et la voie EMG des fichiers BDF, aujourd'hui inutilisées, servent de référence.</w:t>
      </w:r>
    </w:p>
    <w:p>
      <w:r>
        <w:rPr>
          <w:b/>
          <w:sz w:val="20"/>
        </w:rPr>
        <w:t xml:space="preserve">Pourquoi — </w:t>
      </w:r>
      <w:r>
        <w:rPr>
          <w:sz w:val="20"/>
        </w:rPr>
        <w:t>C'est la seule voie dont on peut affirmer à l'avance qu'elle améliore quelque chose : elle retire du bruit connu des électrodes frontales, là où l'effet est censé se trouver. Elle rend aussi le grief C12 caduc.</w:t>
      </w:r>
    </w:p>
    <w:p/>
    <w:p>
      <w:r>
        <w:rPr>
          <w:b/>
          <w:color w:val="1E3A8A"/>
          <w:sz w:val="24"/>
        </w:rPr>
        <w:t>A1 — Représentation par covariance et espace tangent riemannien</w:t>
      </w:r>
    </w:p>
    <w:p>
      <w:r>
        <w:rPr>
          <w:i/>
          <w:sz w:val="19"/>
        </w:rPr>
        <w:t>Coût : Faible (2–4 jours, bibliothèque existante)   ·   Gain attendu : Élevé</w:t>
      </w:r>
    </w:p>
    <w:p>
      <w:pPr>
        <w:pStyle w:val="ListBullet"/>
      </w:pPr>
      <w:r>
        <w:t>Filtrer le signal par sous-bande, estimer une matrice de covariance 26×26 par bande sur l'enregistrement complet.</w:t>
      </w:r>
    </w:p>
    <w:p>
      <w:pPr>
        <w:pStyle w:val="ListBullet"/>
      </w:pPr>
      <w:r>
        <w:t>Régularisation par estimateur à rétrécissement (Ledoit-Wolf), indispensable quand le nombre d'échantillons est limité.</w:t>
      </w:r>
    </w:p>
    <w:p>
      <w:pPr>
        <w:pStyle w:val="ListBullet"/>
      </w:pPr>
      <w:r>
        <w:t>Projection dans l'espace tangent au point moyen riemannien, puis modèle linéaire régularisé sur les coordonnées tangentes.</w:t>
      </w:r>
    </w:p>
    <w:p>
      <w:pPr>
        <w:pStyle w:val="ListBullet"/>
      </w:pPr>
      <w:r>
        <w:t>Bibliothèque pyriemann, compatible scikit-learn.</w:t>
      </w:r>
    </w:p>
    <w:p>
      <w:r>
        <w:rPr>
          <w:b/>
          <w:sz w:val="20"/>
        </w:rPr>
        <w:t xml:space="preserve">Pourquoi — </w:t>
      </w:r>
      <w:r>
        <w:rPr>
          <w:sz w:val="20"/>
        </w:rPr>
        <w:t>C'est l'écart de représentation le plus direct avec l'article : leur SBLEST opère sur des covariances normalisées en trace, blanchies puis passées au logarithme, ce qui est exactement une construction riemannienne. La littérature rapporte, sur des tâches de régression EEG, une réduction de RMSE de 4 à 8 % et un gain de corrélation de 7 à 11 % par rapport aux puissances de bande.</w:t>
      </w:r>
    </w:p>
    <w:p/>
    <w:p>
      <w:r>
        <w:rPr>
          <w:b/>
          <w:color w:val="1E3A8A"/>
          <w:sz w:val="24"/>
        </w:rPr>
        <w:t>A2 — Abandonner le LSTM pour un modèle linéaire régularisé</w:t>
      </w:r>
    </w:p>
    <w:p>
      <w:r>
        <w:rPr>
          <w:i/>
          <w:sz w:val="19"/>
        </w:rPr>
        <w:t>Coût : Très faible (1 jour)   ·   Gain attendu : Moyen à élevé</w:t>
      </w:r>
    </w:p>
    <w:p>
      <w:pPr>
        <w:pStyle w:val="ListBullet"/>
      </w:pPr>
      <w:r>
        <w:t>Ridge, elastic-net ou SVR sur les variables agrégées au niveau patient, avec α réglé en validation croisée imbriquée.</w:t>
      </w:r>
    </w:p>
    <w:p>
      <w:pPr>
        <w:pStyle w:val="ListBullet"/>
      </w:pPr>
      <w:r>
        <w:t>Conserver le LSTM uniquement pour la cohorte séquentielle simulée, seul endroit où il existe une vraie trajectoire.</w:t>
      </w:r>
    </w:p>
    <w:p>
      <w:r>
        <w:rPr>
          <w:b/>
          <w:sz w:val="20"/>
        </w:rPr>
        <w:t xml:space="preserve">Pourquoi — </w:t>
      </w:r>
      <w:r>
        <w:rPr>
          <w:sz w:val="20"/>
        </w:rPr>
        <w:t>90 000 paramètres pour 44 patients est le régime où un modèle apprend du bruit. L'article utilise un modèle linéaire bayésien parcimonieux, et sa propre variante ridge est explicitement testée. Le gain n'est pas garanti mais le coût est presque nul.</w:t>
      </w:r>
    </w:p>
    <w:p/>
    <w:p>
      <w:r>
        <w:rPr>
          <w:b/>
          <w:color w:val="1E3A8A"/>
          <w:sz w:val="24"/>
        </w:rPr>
        <w:t>A3 — Protocole statistique unique et validation croisée imbriquée</w:t>
      </w:r>
    </w:p>
    <w:p>
      <w:r>
        <w:rPr>
          <w:i/>
          <w:sz w:val="19"/>
        </w:rPr>
        <w:t>Coût : Faible (1–2 jours)   ·   Gain attendu : Moyen — surtout en crédibilité</w:t>
      </w:r>
    </w:p>
    <w:p>
      <w:pPr>
        <w:pStyle w:val="ListBullet"/>
      </w:pPr>
      <w:r>
        <w:t>10 répétitions de validation croisée à 10 plis, comme l'article.</w:t>
      </w:r>
    </w:p>
    <w:p>
      <w:pPr>
        <w:pStyle w:val="ListBullet"/>
      </w:pPr>
      <w:r>
        <w:t>Boucle interne pour les hyperparamètres, boucle externe pour l'estimation ; standardisation ajustée dans le pli.</w:t>
      </w:r>
    </w:p>
    <w:p>
      <w:pPr>
        <w:pStyle w:val="ListBullet"/>
      </w:pPr>
      <w:r>
        <w:t>Un seul tableau de résultats régénéré avec cette configuration, remplaçant les deux jeux actuellement incohérents (grief C8).</w:t>
      </w:r>
    </w:p>
    <w:p>
      <w:r>
        <w:rPr>
          <w:b/>
          <w:sz w:val="20"/>
        </w:rPr>
        <w:t xml:space="preserve">Pourquoi — </w:t>
      </w:r>
      <w:r>
        <w:rPr>
          <w:sz w:val="20"/>
        </w:rPr>
        <w:t>Ne fera pas monter le r, mais supprime le reproche le plus facile à formuler contre nos chiffres.</w:t>
      </w:r>
    </w:p>
    <w:p/>
    <w:p>
      <w:pPr>
        <w:pStyle w:val="Heading2"/>
      </w:pPr>
      <w:r>
        <w:rPr>
          <w:color w:val="1E3A8A"/>
        </w:rPr>
        <w:t>Niveau B — Biomarqueurs validés par la littérature</w:t>
      </w:r>
    </w:p>
    <w:p>
      <w:r>
        <w:rPr>
          <w:b/>
          <w:color w:val="1E3A8A"/>
          <w:sz w:val="24"/>
        </w:rPr>
        <w:t>B1 — Cordance thêta préfrontale</w:t>
      </w:r>
    </w:p>
    <w:p>
      <w:r>
        <w:rPr>
          <w:i/>
          <w:sz w:val="19"/>
        </w:rPr>
        <w:t>Coût : Faible (1–2 jours)   ·   Gain attendu : Moyen, avec appui bibliographique fort</w:t>
      </w:r>
    </w:p>
    <w:p>
      <w:pPr>
        <w:pStyle w:val="ListBullet"/>
      </w:pPr>
      <w:r>
        <w:t>Pour chaque électrode : z-scorer la puissance thêta absolue et la puissance thêta relative, puis les sommer.</w:t>
      </w:r>
    </w:p>
    <w:p>
      <w:pPr>
        <w:pStyle w:val="ListBullet"/>
      </w:pPr>
      <w:r>
        <w:t>Moyenner sur les électrodes préfrontales.</w:t>
      </w:r>
    </w:p>
    <w:p>
      <w:pPr>
        <w:pStyle w:val="ListBullet"/>
      </w:pPr>
      <w:r>
        <w:t>Tester en univarié puis comme variable ajoutée au bloc clinique.</w:t>
      </w:r>
    </w:p>
    <w:p>
      <w:r>
        <w:rPr>
          <w:b/>
          <w:sz w:val="20"/>
        </w:rPr>
        <w:t xml:space="preserve">Pourquoi — </w:t>
      </w:r>
      <w:r>
        <w:rPr>
          <w:sz w:val="20"/>
        </w:rPr>
        <w:t>C'est le prédicteur de réponse antidépressive avec la meilleure réplication : une méta-analyse de vingt études en 2024, et des réplications en double aveugle sur deux traitements différents. Nous ne le calculons pas. C'est la variable la moins chère à ajouter avec le meilleur a priori.</w:t>
      </w:r>
    </w:p>
    <w:p/>
    <w:p>
      <w:r>
        <w:rPr>
          <w:b/>
          <w:color w:val="1E3A8A"/>
          <w:sz w:val="24"/>
        </w:rPr>
        <w:t>B2 — Stratification par la fréquence alpha individuelle (IAPF)</w:t>
      </w:r>
    </w:p>
    <w:p>
      <w:r>
        <w:rPr>
          <w:i/>
          <w:sz w:val="19"/>
        </w:rPr>
        <w:t>Coût : Très faible (moins d'un jour — la variable existe déjà)   ·   Gain attendu : Moyen</w:t>
      </w:r>
    </w:p>
    <w:p>
      <w:pPr>
        <w:pStyle w:val="ListBullet"/>
      </w:pPr>
      <w:r>
        <w:t>Nous calculons déjà alpha_peak_hz, mais nous l'utilisons comme une colonne parmi 179.</w:t>
      </w:r>
    </w:p>
    <w:p>
      <w:pPr>
        <w:pStyle w:val="ListBullet"/>
      </w:pPr>
      <w:r>
        <w:t>Tester l'hypothèse d'Arns : le sous-groupe à alpha lent (environ 17 % des patients déprimés) prédit la non-réponse.</w:t>
      </w:r>
    </w:p>
    <w:p>
      <w:pPr>
        <w:pStyle w:val="ListBullet"/>
      </w:pPr>
      <w:r>
        <w:t>Tester la relation quadratique entre fréquence de stimulation et réponse selon le décile d'IAPF.</w:t>
      </w:r>
    </w:p>
    <w:p>
      <w:r>
        <w:rPr>
          <w:b/>
          <w:sz w:val="20"/>
        </w:rPr>
        <w:t xml:space="preserve">Pourquoi — </w:t>
      </w:r>
      <w:r>
        <w:rPr>
          <w:sz w:val="20"/>
        </w:rPr>
        <w:t>La revue de 2025 sur la prédiction de réponse à la rTMS désigne l'IAPF comme « le marqueur le plus robuste et celui qui a la meilleure chance d'être implémenté en clinique ». Nous détenons déjà la variable et n'avons jamais testé l'hypothèse qui la rend prédictive.</w:t>
      </w:r>
    </w:p>
    <w:p/>
    <w:p>
      <w:r>
        <w:rPr>
          <w:b/>
          <w:color w:val="1E3A8A"/>
          <w:sz w:val="24"/>
        </w:rPr>
        <w:t>B3 — Microétats EEG</w:t>
      </w:r>
    </w:p>
    <w:p>
      <w:r>
        <w:rPr>
          <w:i/>
          <w:sz w:val="19"/>
        </w:rPr>
        <w:t>Coût : Moyen (3–5 jours)   ·   Gain attendu : Moyen</w:t>
      </w:r>
    </w:p>
    <w:p>
      <w:pPr>
        <w:pStyle w:val="ListBullet"/>
      </w:pPr>
      <w:r>
        <w:t>Segmentation en microétats (clustering des topographies aux pics de GFP), puis couverture, durée et fréquence d'occurrence par classe.</w:t>
      </w:r>
    </w:p>
    <w:p>
      <w:pPr>
        <w:pStyle w:val="ListBullet"/>
      </w:pPr>
      <w:r>
        <w:t>Bibliothèque pycrostates, compatible MNE.</w:t>
      </w:r>
    </w:p>
    <w:p>
      <w:r>
        <w:rPr>
          <w:b/>
          <w:sz w:val="20"/>
        </w:rPr>
        <w:t xml:space="preserve">Pourquoi — </w:t>
      </w:r>
      <w:r>
        <w:rPr>
          <w:sz w:val="20"/>
        </w:rPr>
        <w:t>Les répondeurs présentent une couverture, une durée et une occurrence plus élevées du microétat D à l'inclusion. Étude de référence sur n = 120 — comparable à notre cohorte.</w:t>
      </w:r>
    </w:p>
    <w:p/>
    <w:p>
      <w:r>
        <w:rPr>
          <w:b/>
          <w:color w:val="1E3A8A"/>
          <w:sz w:val="24"/>
        </w:rPr>
        <w:t>B4 — Décomposition périodique / apériodique (specparam)</w:t>
      </w:r>
    </w:p>
    <w:p>
      <w:r>
        <w:rPr>
          <w:i/>
          <w:sz w:val="19"/>
        </w:rPr>
        <w:t>Coût : Faible (1–2 jours)   ·   Gain attendu : Moyen</w:t>
      </w:r>
    </w:p>
    <w:p>
      <w:pPr>
        <w:pStyle w:val="ListBullet"/>
      </w:pPr>
      <w:r>
        <w:t>Séparer explicitement la composante apériodique 1/f de la composante oscillatoire avant de mesurer les puissances de bande.</w:t>
      </w:r>
    </w:p>
    <w:p>
      <w:pPr>
        <w:pStyle w:val="ListBullet"/>
      </w:pPr>
      <w:r>
        <w:t>Nous estimons déjà la pente 1/f, mais nos puissances de bande ne sont pas corrigées de cette pente.</w:t>
      </w:r>
    </w:p>
    <w:p>
      <w:r>
        <w:rPr>
          <w:b/>
          <w:sz w:val="20"/>
        </w:rPr>
        <w:t xml:space="preserve">Pourquoi — </w:t>
      </w:r>
      <w:r>
        <w:rPr>
          <w:sz w:val="20"/>
        </w:rPr>
        <w:t>Une puissance de bande non corrigée mélange un décalage apériodique et une véritable oscillation. Deux patients dont la pente diffère auront des puissances relatives différentes sans qu'aucun rythme ne diffère.</w:t>
      </w:r>
    </w:p>
    <w:p/>
    <w:p>
      <w:pPr>
        <w:pStyle w:val="Heading2"/>
      </w:pPr>
      <w:r>
        <w:rPr>
          <w:color w:val="1E3A8A"/>
        </w:rPr>
        <w:t>Niveau R — Reproduire puis dépasser la méthode de l'article</w:t>
      </w:r>
    </w:p>
    <w:p>
      <w:r>
        <w:rPr>
          <w:b/>
          <w:color w:val="1E3A8A"/>
          <w:sz w:val="24"/>
        </w:rPr>
        <w:t>R1 — Exécuter SBLEST directement</w:t>
      </w:r>
    </w:p>
    <w:p>
      <w:r>
        <w:rPr>
          <w:i/>
          <w:sz w:val="19"/>
        </w:rPr>
        <w:t>Coût : Moyen (1 semaine)   ·   Gain attendu : Élevé — c'est la reproduction exacte</w:t>
      </w:r>
    </w:p>
    <w:p>
      <w:pPr>
        <w:pStyle w:val="ListBullet"/>
      </w:pPr>
      <w:r>
        <w:t>Le code de SBLEST est public (Matlab et Python) : github.com/EEGdecoding/Code-SBLEST.</w:t>
      </w:r>
    </w:p>
    <w:p>
      <w:pPr>
        <w:pStyle w:val="ListBullet"/>
      </w:pPr>
      <w:r>
        <w:t>Reste à implémenter itEMD (décomposition modale empirique à masquage itératif) et à construire la matrice bloc-diagonale IMF-Alpha / IMF-Bêta / Résidu.</w:t>
      </w:r>
    </w:p>
    <w:p>
      <w:pPr>
        <w:pStyle w:val="ListBullet"/>
      </w:pPr>
      <w:r>
        <w:t>Ajouter leur augmentation par retournement temporel.</w:t>
      </w:r>
    </w:p>
    <w:p>
      <w:r>
        <w:rPr>
          <w:b/>
          <w:sz w:val="20"/>
        </w:rPr>
        <w:t xml:space="preserve">Pourquoi — </w:t>
      </w:r>
      <w:r>
        <w:rPr>
          <w:sz w:val="20"/>
        </w:rPr>
        <w:t>Tant que nous n'avons pas reproduit leur 0,401, nous ne pouvons pas affirmer que leur résultat est fragile — nous ne pouvons dire que nous ne le retrouvons pas. Reproduire d'abord, critiquer ensuite, est l'ordre qui rend la critique irréfutable.</w:t>
      </w:r>
    </w:p>
    <w:p/>
    <w:p>
      <w:r>
        <w:rPr>
          <w:b/>
          <w:color w:val="1E3A8A"/>
          <w:sz w:val="24"/>
        </w:rPr>
        <w:t>R2 — Le test décisif : leur méthode contre la référence triviale</w:t>
      </w:r>
    </w:p>
    <w:p>
      <w:r>
        <w:rPr>
          <w:i/>
          <w:sz w:val="19"/>
        </w:rPr>
        <w:t>Coût : Faible, une fois C1 fait   ·   Gain attendu : Le résultat le plus publiable du projet</w:t>
      </w:r>
    </w:p>
    <w:p>
      <w:pPr>
        <w:pStyle w:val="ListBullet"/>
      </w:pPr>
      <w:r>
        <w:t>Reproduire leur r, puis calculer la corrélation partielle après résidualisation du BDI-II initial des deux côtés.</w:t>
      </w:r>
    </w:p>
    <w:p>
      <w:pPr>
        <w:pStyle w:val="ListBullet"/>
      </w:pPr>
      <w:r>
        <w:t>Refaire tourner leur pipeline complet sur des étiquettes permutées, réentraînement compris.</w:t>
      </w:r>
    </w:p>
    <w:p>
      <w:pPr>
        <w:pStyle w:val="ListBullet"/>
      </w:pPr>
      <w:r>
        <w:t>Rejouer leur cible sur le pourcentage de réduction, où le confondant tombe à r = 0,156.</w:t>
      </w:r>
    </w:p>
    <w:p>
      <w:r>
        <w:rPr>
          <w:b/>
          <w:sz w:val="20"/>
        </w:rPr>
        <w:t xml:space="preserve">Pourquoi — </w:t>
      </w:r>
      <w:r>
        <w:rPr>
          <w:sz w:val="20"/>
        </w:rPr>
        <w:t>Si leur 0,401 s'effondre après résidualisation, c'est un résultat négatif fort sur une étude publiée — bien plus fort que notre résultat nul actuel, parce qu'il porte sur leur méthode et non sur la nôtre. S'il survit, nous avons appris quelque chose de réel et nous disposons d'une chaîne qui fonctionne.</w:t>
      </w:r>
    </w:p>
    <w:p/>
    <w:p>
      <w:pPr>
        <w:pStyle w:val="Heading2"/>
      </w:pPr>
      <w:r>
        <w:rPr>
          <w:color w:val="1E3A8A"/>
        </w:rPr>
        <w:t>Niveau D — Voies à fort potentiel mais à fort risque</w:t>
      </w:r>
    </w:p>
    <w:p>
      <w:r>
        <w:rPr>
          <w:b/>
          <w:color w:val="1E3A8A"/>
          <w:sz w:val="24"/>
        </w:rPr>
        <w:t>D1 — Pré-entraînement auto-supervisé sur le TDBRAIN complet</w:t>
      </w:r>
    </w:p>
    <w:p>
      <w:r>
        <w:rPr>
          <w:i/>
          <w:sz w:val="19"/>
        </w:rPr>
        <w:t>Coût : Élevé (3–6 semaines)   ·   Gain attendu : Incertain</w:t>
      </w:r>
    </w:p>
    <w:p>
      <w:pPr>
        <w:pStyle w:val="ListBullet"/>
      </w:pPr>
      <w:r>
        <w:t>TDBRAIN contient environ 1 300 sujets ; nous n'en exploitons que 132. Les 1 168 autres n'ont pas d'étiquette de réponse mais ont de l'EEG.</w:t>
      </w:r>
    </w:p>
    <w:p>
      <w:pPr>
        <w:pStyle w:val="ListBullet"/>
      </w:pPr>
      <w:r>
        <w:t>Pré-entraîner une représentation par masquage, puis affiner sur les 44 ou 88 patients étiquetés.</w:t>
      </w:r>
    </w:p>
    <w:p>
      <w:pPr>
        <w:pStyle w:val="ListBullet"/>
      </w:pPr>
      <w:r>
        <w:t>Alternative : partir d'un modèle de fondation EEG déjà publié (LaBraM, EEGPT, CBraMod, BIOT).</w:t>
      </w:r>
    </w:p>
    <w:p>
      <w:r>
        <w:rPr>
          <w:b/>
          <w:sz w:val="20"/>
        </w:rPr>
        <w:t xml:space="preserve">Pourquoi — </w:t>
      </w:r>
      <w:r>
        <w:rPr>
          <w:sz w:val="20"/>
        </w:rPr>
        <w:t>C'est l'approche conçue pour le régime « beaucoup de données non étiquetées, peu d'étiquettes ». Avertissement : des travaux de 2026 mettent ces modèles à l'épreuve de contrôles négatifs ciblés et montrent que leurs gains ne survivent pas toujours. À n'entreprendre qu'après les niveaux A et B, et avec les mêmes contrôles que le reste du projet.</w:t>
      </w:r>
    </w:p>
    <w:p/>
    <w:p>
      <w:r>
        <w:rPr>
          <w:b/>
          <w:color w:val="1E3A8A"/>
          <w:sz w:val="24"/>
        </w:rPr>
        <w:t>D2 — Apprentissage multitâche avec le diagnostic comme tâche auxiliaire</w:t>
      </w:r>
    </w:p>
    <w:p>
      <w:r>
        <w:rPr>
          <w:i/>
          <w:sz w:val="19"/>
        </w:rPr>
        <w:t>Coût : Moyen (1–2 semaines)   ·   Gain attendu : Incertain</w:t>
      </w:r>
    </w:p>
    <w:p>
      <w:pPr>
        <w:pStyle w:val="ListBullet"/>
      </w:pPr>
      <w:r>
        <w:t>La tâche MDD contre témoins sains atteint AUC ≈ 0,86 sur la même chaîne : il y a donc du signal exploitable dans ces enregistrements.</w:t>
      </w:r>
    </w:p>
    <w:p>
      <w:pPr>
        <w:pStyle w:val="ListBullet"/>
      </w:pPr>
      <w:r>
        <w:t>Entraîner conjointement diagnostic et réponse, en partageant la représentation.</w:t>
      </w:r>
    </w:p>
    <w:p>
      <w:r>
        <w:rPr>
          <w:b/>
          <w:sz w:val="20"/>
        </w:rPr>
        <w:t xml:space="preserve">Pourquoi — </w:t>
      </w:r>
      <w:r>
        <w:rPr>
          <w:sz w:val="20"/>
        </w:rPr>
        <w:t>Le pari est que la représentation apprise sur une tâche facile et bien peuplée régularise la tâche difficile et rare. Sert aussi de contrôle positif de difficulté intermédiaire (grief C10).</w:t>
      </w:r>
    </w:p>
    <w:p/>
    <w:p>
      <w:pPr>
        <w:pStyle w:val="Heading2"/>
      </w:pPr>
      <w:r>
        <w:rPr>
          <w:color w:val="1E3A8A"/>
        </w:rPr>
        <w:t>Niveau E — Ce qu'il ne faut pas tenter</w:t>
      </w:r>
    </w:p>
    <w:p>
      <w:pPr>
        <w:pStyle w:val="ListBullet"/>
      </w:pPr>
      <w:r>
        <w:t>Ajouter d'autres familles de variables exploratoires en amont de la chaîne actuelle. C'est exactement ce que nous avons fait, et le grief C1 explique pourquoi cela ne peut pas fonctionner.</w:t>
      </w:r>
    </w:p>
    <w:p>
      <w:pPr>
        <w:pStyle w:val="ListBullet"/>
      </w:pPr>
      <w:r>
        <w:t>Reconstruire la couche électromagnétique B/E/J. Elle est prouvée vide sur cette cohorte : l'intensité, la géométrie de bobine et la conductivité tissulaire ne sont pas publiées, et le rang de [1 | protocole] est inchangé par l'ajout des colonnes physiques.</w:t>
      </w:r>
    </w:p>
    <w:p>
      <w:pPr>
        <w:pStyle w:val="ListBullet"/>
      </w:pPr>
      <w:r>
        <w:t>Ajuster Wilson-Cowan sur un enregistrement de repos unique. Le problème d'estimation n'est pas identifiable ; la pente 1/f reste la bonne approximation du rapport E/I.</w:t>
      </w:r>
    </w:p>
    <w:p>
      <w:pPr>
        <w:pStyle w:val="ListBullet"/>
      </w:pPr>
      <w:r>
        <w:t>Écarter des patients jusqu'à retrouver leurs effectifs. Un contrôle qualité défini a priori est légitime ; ajuster la cohorte au résultat ne l'est pas.</w:t>
      </w:r>
    </w:p>
    <w:p>
      <w:pPr>
        <w:pStyle w:val="ListBullet"/>
      </w:pPr>
      <w:r>
        <w:t>Approfondir la piste 3-6-9. Elle est réfutée selon son propre critère, l'affaire est close.</w:t>
      </w:r>
    </w:p>
    <w:p>
      <w:r>
        <w:br w:type="page"/>
      </w:r>
    </w:p>
    <w:p>
      <w:pPr>
        <w:pStyle w:val="Heading1"/>
      </w:pPr>
      <w:r>
        <w:rPr>
          <w:color w:val="1E3A8A"/>
        </w:rPr>
        <w:t>Partie IV — Plan d'action</w:t>
      </w:r>
    </w:p>
    <w:p>
      <w:r>
        <w:rPr>
          <w:i w:val="0"/>
          <w:sz w:val="22"/>
        </w:rPr>
        <w:t>L'ordre est contraint : A0 et A1 conditionnent tout le reste. Une voie ne doit pas être entamée avant que les précédentes soient mesurées, sans quoi on ne saura pas à quoi attribuer un éventuel gain.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Ordre</w:t>
            </w:r>
          </w:p>
        </w:tc>
        <w:tc>
          <w:tcPr>
            <w:tcW w:type="dxa" w:w="1728"/>
          </w:tcPr>
          <w:p>
            <w:r/>
            <w:r>
              <w:rPr>
                <w:b/>
                <w:sz w:val="18"/>
              </w:rPr>
              <w:t>Voie</w:t>
            </w:r>
          </w:p>
        </w:tc>
        <w:tc>
          <w:tcPr>
            <w:tcW w:type="dxa" w:w="1728"/>
          </w:tcPr>
          <w:p>
            <w:r/>
            <w:r>
              <w:rPr>
                <w:b/>
                <w:sz w:val="18"/>
              </w:rPr>
              <w:t>Effort</w:t>
            </w:r>
          </w:p>
        </w:tc>
        <w:tc>
          <w:tcPr>
            <w:tcW w:type="dxa" w:w="1728"/>
          </w:tcPr>
          <w:p>
            <w:r/>
            <w:r>
              <w:rPr>
                <w:b/>
                <w:sz w:val="18"/>
              </w:rPr>
              <w:t>Gain attendu</w:t>
            </w:r>
          </w:p>
        </w:tc>
        <w:tc>
          <w:tcPr>
            <w:tcW w:type="dxa" w:w="1728"/>
          </w:tcPr>
          <w:p>
            <w:r/>
            <w:r>
              <w:rPr>
                <w:b/>
                <w:sz w:val="18"/>
              </w:rPr>
              <w:t>Risque</w:t>
            </w:r>
          </w:p>
        </w:tc>
      </w:tr>
      <w:tr>
        <w:tc>
          <w:tcPr>
            <w:tcW w:type="dxa" w:w="1728"/>
          </w:tcPr>
          <w:p>
            <w:r/>
            <w:r>
              <w:rPr>
                <w:sz w:val="18"/>
              </w:rPr>
              <w:t>1</w:t>
            </w:r>
          </w:p>
        </w:tc>
        <w:tc>
          <w:tcPr>
            <w:tcW w:type="dxa" w:w="1728"/>
          </w:tcPr>
          <w:p>
            <w:r/>
            <w:r>
              <w:rPr>
                <w:sz w:val="18"/>
              </w:rPr>
              <w:t>A0 — ICA, interpolation, rejet de segments</w:t>
            </w:r>
          </w:p>
        </w:tc>
        <w:tc>
          <w:tcPr>
            <w:tcW w:type="dxa" w:w="1728"/>
          </w:tcPr>
          <w:p>
            <w:r/>
            <w:r>
              <w:rPr>
                <w:sz w:val="18"/>
              </w:rPr>
              <w:t>2–3 j</w:t>
            </w:r>
          </w:p>
        </w:tc>
        <w:tc>
          <w:tcPr>
            <w:tcW w:type="dxa" w:w="1728"/>
          </w:tcPr>
          <w:p>
            <w:r/>
            <w:r>
              <w:rPr>
                <w:sz w:val="18"/>
              </w:rPr>
              <w:t>Élevé, quasi certain</w:t>
            </w:r>
          </w:p>
        </w:tc>
        <w:tc>
          <w:tcPr>
            <w:tcW w:type="dxa" w:w="1728"/>
          </w:tcPr>
          <w:p>
            <w:r/>
            <w:r>
              <w:rPr>
                <w:sz w:val="18"/>
              </w:rPr>
              <w:t>Faible</w:t>
            </w:r>
          </w:p>
        </w:tc>
      </w:tr>
      <w:tr>
        <w:tc>
          <w:tcPr>
            <w:tcW w:type="dxa" w:w="1728"/>
          </w:tcPr>
          <w:p>
            <w:r/>
            <w:r>
              <w:rPr>
                <w:sz w:val="18"/>
              </w:rPr>
              <w:t>2</w:t>
            </w:r>
          </w:p>
        </w:tc>
        <w:tc>
          <w:tcPr>
            <w:tcW w:type="dxa" w:w="1728"/>
          </w:tcPr>
          <w:p>
            <w:r/>
            <w:r>
              <w:rPr>
                <w:sz w:val="18"/>
              </w:rPr>
              <w:t>A2 — Modèle linéaire régularisé à la place du LSTM</w:t>
            </w:r>
          </w:p>
        </w:tc>
        <w:tc>
          <w:tcPr>
            <w:tcW w:type="dxa" w:w="1728"/>
          </w:tcPr>
          <w:p>
            <w:r/>
            <w:r>
              <w:rPr>
                <w:sz w:val="18"/>
              </w:rPr>
              <w:t>1 j</w:t>
            </w:r>
          </w:p>
        </w:tc>
        <w:tc>
          <w:tcPr>
            <w:tcW w:type="dxa" w:w="1728"/>
          </w:tcPr>
          <w:p>
            <w:r/>
            <w:r>
              <w:rPr>
                <w:sz w:val="18"/>
              </w:rPr>
              <w:t>Moyen à élevé</w:t>
            </w:r>
          </w:p>
        </w:tc>
        <w:tc>
          <w:tcPr>
            <w:tcW w:type="dxa" w:w="1728"/>
          </w:tcPr>
          <w:p>
            <w:r/>
            <w:r>
              <w:rPr>
                <w:sz w:val="18"/>
              </w:rPr>
              <w:t>Très faible</w:t>
            </w:r>
          </w:p>
        </w:tc>
      </w:tr>
      <w:tr>
        <w:tc>
          <w:tcPr>
            <w:tcW w:type="dxa" w:w="1728"/>
          </w:tcPr>
          <w:p>
            <w:r/>
            <w:r>
              <w:rPr>
                <w:sz w:val="18"/>
              </w:rPr>
              <w:t>3</w:t>
            </w:r>
          </w:p>
        </w:tc>
        <w:tc>
          <w:tcPr>
            <w:tcW w:type="dxa" w:w="1728"/>
          </w:tcPr>
          <w:p>
            <w:r/>
            <w:r>
              <w:rPr>
                <w:sz w:val="18"/>
              </w:rPr>
              <w:t>A1 — Covariance + espace tangent riemannien</w:t>
            </w:r>
          </w:p>
        </w:tc>
        <w:tc>
          <w:tcPr>
            <w:tcW w:type="dxa" w:w="1728"/>
          </w:tcPr>
          <w:p>
            <w:r/>
            <w:r>
              <w:rPr>
                <w:sz w:val="18"/>
              </w:rPr>
              <w:t>2–4 j</w:t>
            </w:r>
          </w:p>
        </w:tc>
        <w:tc>
          <w:tcPr>
            <w:tcW w:type="dxa" w:w="1728"/>
          </w:tcPr>
          <w:p>
            <w:r/>
            <w:r>
              <w:rPr>
                <w:sz w:val="18"/>
              </w:rPr>
              <w:t>Élevé</w:t>
            </w:r>
          </w:p>
        </w:tc>
        <w:tc>
          <w:tcPr>
            <w:tcW w:type="dxa" w:w="1728"/>
          </w:tcPr>
          <w:p>
            <w:r/>
            <w:r>
              <w:rPr>
                <w:sz w:val="18"/>
              </w:rPr>
              <w:t>Faible</w:t>
            </w:r>
          </w:p>
        </w:tc>
      </w:tr>
      <w:tr>
        <w:tc>
          <w:tcPr>
            <w:tcW w:type="dxa" w:w="1728"/>
          </w:tcPr>
          <w:p>
            <w:r/>
            <w:r>
              <w:rPr>
                <w:sz w:val="18"/>
              </w:rPr>
              <w:t>4</w:t>
            </w:r>
          </w:p>
        </w:tc>
        <w:tc>
          <w:tcPr>
            <w:tcW w:type="dxa" w:w="1728"/>
          </w:tcPr>
          <w:p>
            <w:r/>
            <w:r>
              <w:rPr>
                <w:sz w:val="18"/>
              </w:rPr>
              <w:t>A3 — Protocole statistique unique, CV imbriquée</w:t>
            </w:r>
          </w:p>
        </w:tc>
        <w:tc>
          <w:tcPr>
            <w:tcW w:type="dxa" w:w="1728"/>
          </w:tcPr>
          <w:p>
            <w:r/>
            <w:r>
              <w:rPr>
                <w:sz w:val="18"/>
              </w:rPr>
              <w:t>1–2 j</w:t>
            </w:r>
          </w:p>
        </w:tc>
        <w:tc>
          <w:tcPr>
            <w:tcW w:type="dxa" w:w="1728"/>
          </w:tcPr>
          <w:p>
            <w:r/>
            <w:r>
              <w:rPr>
                <w:sz w:val="18"/>
              </w:rPr>
              <w:t>Crédibilité</w:t>
            </w:r>
          </w:p>
        </w:tc>
        <w:tc>
          <w:tcPr>
            <w:tcW w:type="dxa" w:w="1728"/>
          </w:tcPr>
          <w:p>
            <w:r/>
            <w:r>
              <w:rPr>
                <w:sz w:val="18"/>
              </w:rPr>
              <w:t>Nul</w:t>
            </w:r>
          </w:p>
        </w:tc>
      </w:tr>
      <w:tr>
        <w:tc>
          <w:tcPr>
            <w:tcW w:type="dxa" w:w="1728"/>
          </w:tcPr>
          <w:p>
            <w:r/>
            <w:r>
              <w:rPr>
                <w:sz w:val="18"/>
              </w:rPr>
              <w:t>5</w:t>
            </w:r>
          </w:p>
        </w:tc>
        <w:tc>
          <w:tcPr>
            <w:tcW w:type="dxa" w:w="1728"/>
          </w:tcPr>
          <w:p>
            <w:r/>
            <w:r>
              <w:rPr>
                <w:sz w:val="18"/>
              </w:rPr>
              <w:t>B1 — Cordance thêta préfrontale</w:t>
            </w:r>
          </w:p>
        </w:tc>
        <w:tc>
          <w:tcPr>
            <w:tcW w:type="dxa" w:w="1728"/>
          </w:tcPr>
          <w:p>
            <w:r/>
            <w:r>
              <w:rPr>
                <w:sz w:val="18"/>
              </w:rPr>
              <w:t>1–2 j</w:t>
            </w:r>
          </w:p>
        </w:tc>
        <w:tc>
          <w:tcPr>
            <w:tcW w:type="dxa" w:w="1728"/>
          </w:tcPr>
          <w:p>
            <w:r/>
            <w:r>
              <w:rPr>
                <w:sz w:val="18"/>
              </w:rPr>
              <w:t>Moyen, littérature solide</w:t>
            </w:r>
          </w:p>
        </w:tc>
        <w:tc>
          <w:tcPr>
            <w:tcW w:type="dxa" w:w="1728"/>
          </w:tcPr>
          <w:p>
            <w:r/>
            <w:r>
              <w:rPr>
                <w:sz w:val="18"/>
              </w:rPr>
              <w:t>Faible</w:t>
            </w:r>
          </w:p>
        </w:tc>
      </w:tr>
      <w:tr>
        <w:tc>
          <w:tcPr>
            <w:tcW w:type="dxa" w:w="1728"/>
          </w:tcPr>
          <w:p>
            <w:r/>
            <w:r>
              <w:rPr>
                <w:sz w:val="18"/>
              </w:rPr>
              <w:t>6</w:t>
            </w:r>
          </w:p>
        </w:tc>
        <w:tc>
          <w:tcPr>
            <w:tcW w:type="dxa" w:w="1728"/>
          </w:tcPr>
          <w:p>
            <w:r/>
            <w:r>
              <w:rPr>
                <w:sz w:val="18"/>
              </w:rPr>
              <w:t>B2 — Stratification IAPF</w:t>
            </w:r>
          </w:p>
        </w:tc>
        <w:tc>
          <w:tcPr>
            <w:tcW w:type="dxa" w:w="1728"/>
          </w:tcPr>
          <w:p>
            <w:r/>
            <w:r>
              <w:rPr>
                <w:sz w:val="18"/>
              </w:rPr>
              <w:t>&lt; 1 j</w:t>
            </w:r>
          </w:p>
        </w:tc>
        <w:tc>
          <w:tcPr>
            <w:tcW w:type="dxa" w:w="1728"/>
          </w:tcPr>
          <w:p>
            <w:r/>
            <w:r>
              <w:rPr>
                <w:sz w:val="18"/>
              </w:rPr>
              <w:t>Moyen</w:t>
            </w:r>
          </w:p>
        </w:tc>
        <w:tc>
          <w:tcPr>
            <w:tcW w:type="dxa" w:w="1728"/>
          </w:tcPr>
          <w:p>
            <w:r/>
            <w:r>
              <w:rPr>
                <w:sz w:val="18"/>
              </w:rPr>
              <w:t>Faible</w:t>
            </w:r>
          </w:p>
        </w:tc>
      </w:tr>
      <w:tr>
        <w:tc>
          <w:tcPr>
            <w:tcW w:type="dxa" w:w="1728"/>
          </w:tcPr>
          <w:p>
            <w:r/>
            <w:r>
              <w:rPr>
                <w:sz w:val="18"/>
              </w:rPr>
              <w:t>7</w:t>
            </w:r>
          </w:p>
        </w:tc>
        <w:tc>
          <w:tcPr>
            <w:tcW w:type="dxa" w:w="1728"/>
          </w:tcPr>
          <w:p>
            <w:r/>
            <w:r>
              <w:rPr>
                <w:sz w:val="18"/>
              </w:rPr>
              <w:t>B4 — Correction périodique / apériodique</w:t>
            </w:r>
          </w:p>
        </w:tc>
        <w:tc>
          <w:tcPr>
            <w:tcW w:type="dxa" w:w="1728"/>
          </w:tcPr>
          <w:p>
            <w:r/>
            <w:r>
              <w:rPr>
                <w:sz w:val="18"/>
              </w:rPr>
              <w:t>1–2 j</w:t>
            </w:r>
          </w:p>
        </w:tc>
        <w:tc>
          <w:tcPr>
            <w:tcW w:type="dxa" w:w="1728"/>
          </w:tcPr>
          <w:p>
            <w:r/>
            <w:r>
              <w:rPr>
                <w:sz w:val="18"/>
              </w:rPr>
              <w:t>Moyen</w:t>
            </w:r>
          </w:p>
        </w:tc>
        <w:tc>
          <w:tcPr>
            <w:tcW w:type="dxa" w:w="1728"/>
          </w:tcPr>
          <w:p>
            <w:r/>
            <w:r>
              <w:rPr>
                <w:sz w:val="18"/>
              </w:rPr>
              <w:t>Faible</w:t>
            </w:r>
          </w:p>
        </w:tc>
      </w:tr>
      <w:tr>
        <w:tc>
          <w:tcPr>
            <w:tcW w:type="dxa" w:w="1728"/>
          </w:tcPr>
          <w:p>
            <w:r/>
            <w:r>
              <w:rPr>
                <w:sz w:val="18"/>
              </w:rPr>
              <w:t>8</w:t>
            </w:r>
          </w:p>
        </w:tc>
        <w:tc>
          <w:tcPr>
            <w:tcW w:type="dxa" w:w="1728"/>
          </w:tcPr>
          <w:p>
            <w:r/>
            <w:r>
              <w:rPr>
                <w:sz w:val="18"/>
              </w:rPr>
              <w:t>R1 — Reproduire SBLEST + itEMD</w:t>
            </w:r>
          </w:p>
        </w:tc>
        <w:tc>
          <w:tcPr>
            <w:tcW w:type="dxa" w:w="1728"/>
          </w:tcPr>
          <w:p>
            <w:r/>
            <w:r>
              <w:rPr>
                <w:sz w:val="18"/>
              </w:rPr>
              <w:t>1 sem.</w:t>
            </w:r>
          </w:p>
        </w:tc>
        <w:tc>
          <w:tcPr>
            <w:tcW w:type="dxa" w:w="1728"/>
          </w:tcPr>
          <w:p>
            <w:r/>
            <w:r>
              <w:rPr>
                <w:sz w:val="18"/>
              </w:rPr>
              <w:t>Élevé (reproduction)</w:t>
            </w:r>
          </w:p>
        </w:tc>
        <w:tc>
          <w:tcPr>
            <w:tcW w:type="dxa" w:w="1728"/>
          </w:tcPr>
          <w:p>
            <w:r/>
            <w:r>
              <w:rPr>
                <w:sz w:val="18"/>
              </w:rPr>
              <w:t>Moyen</w:t>
            </w:r>
          </w:p>
        </w:tc>
      </w:tr>
      <w:tr>
        <w:tc>
          <w:tcPr>
            <w:tcW w:type="dxa" w:w="1728"/>
          </w:tcPr>
          <w:p>
            <w:r/>
            <w:r>
              <w:rPr>
                <w:sz w:val="18"/>
              </w:rPr>
              <w:t>9</w:t>
            </w:r>
          </w:p>
        </w:tc>
        <w:tc>
          <w:tcPr>
            <w:tcW w:type="dxa" w:w="1728"/>
          </w:tcPr>
          <w:p>
            <w:r/>
            <w:r>
              <w:rPr>
                <w:sz w:val="18"/>
              </w:rPr>
              <w:t>R2 — Leur méthode contre la référence triviale</w:t>
            </w:r>
          </w:p>
        </w:tc>
        <w:tc>
          <w:tcPr>
            <w:tcW w:type="dxa" w:w="1728"/>
          </w:tcPr>
          <w:p>
            <w:r/>
            <w:r>
              <w:rPr>
                <w:sz w:val="18"/>
              </w:rPr>
              <w:t>2 j</w:t>
            </w:r>
          </w:p>
        </w:tc>
        <w:tc>
          <w:tcPr>
            <w:tcW w:type="dxa" w:w="1728"/>
          </w:tcPr>
          <w:p>
            <w:r/>
            <w:r>
              <w:rPr>
                <w:sz w:val="18"/>
              </w:rPr>
              <w:t>Le résultat le plus fort du projet</w:t>
            </w:r>
          </w:p>
        </w:tc>
        <w:tc>
          <w:tcPr>
            <w:tcW w:type="dxa" w:w="1728"/>
          </w:tcPr>
          <w:p>
            <w:r/>
            <w:r>
              <w:rPr>
                <w:sz w:val="18"/>
              </w:rPr>
              <w:t>Faible</w:t>
            </w:r>
          </w:p>
        </w:tc>
      </w:tr>
      <w:tr>
        <w:tc>
          <w:tcPr>
            <w:tcW w:type="dxa" w:w="1728"/>
          </w:tcPr>
          <w:p>
            <w:r/>
            <w:r>
              <w:rPr>
                <w:sz w:val="18"/>
              </w:rPr>
              <w:t>10</w:t>
            </w:r>
          </w:p>
        </w:tc>
        <w:tc>
          <w:tcPr>
            <w:tcW w:type="dxa" w:w="1728"/>
          </w:tcPr>
          <w:p>
            <w:r/>
            <w:r>
              <w:rPr>
                <w:sz w:val="18"/>
              </w:rPr>
              <w:t>B3 — Microétats</w:t>
            </w:r>
          </w:p>
        </w:tc>
        <w:tc>
          <w:tcPr>
            <w:tcW w:type="dxa" w:w="1728"/>
          </w:tcPr>
          <w:p>
            <w:r/>
            <w:r>
              <w:rPr>
                <w:sz w:val="18"/>
              </w:rPr>
              <w:t>3–5 j</w:t>
            </w:r>
          </w:p>
        </w:tc>
        <w:tc>
          <w:tcPr>
            <w:tcW w:type="dxa" w:w="1728"/>
          </w:tcPr>
          <w:p>
            <w:r/>
            <w:r>
              <w:rPr>
                <w:sz w:val="18"/>
              </w:rPr>
              <w:t>Moyen</w:t>
            </w:r>
          </w:p>
        </w:tc>
        <w:tc>
          <w:tcPr>
            <w:tcW w:type="dxa" w:w="1728"/>
          </w:tcPr>
          <w:p>
            <w:r/>
            <w:r>
              <w:rPr>
                <w:sz w:val="18"/>
              </w:rPr>
              <w:t>Moyen</w:t>
            </w:r>
          </w:p>
        </w:tc>
      </w:tr>
      <w:tr>
        <w:tc>
          <w:tcPr>
            <w:tcW w:type="dxa" w:w="1728"/>
          </w:tcPr>
          <w:p>
            <w:r/>
            <w:r>
              <w:rPr>
                <w:sz w:val="18"/>
              </w:rPr>
              <w:t>11</w:t>
            </w:r>
          </w:p>
        </w:tc>
        <w:tc>
          <w:tcPr>
            <w:tcW w:type="dxa" w:w="1728"/>
          </w:tcPr>
          <w:p>
            <w:r/>
            <w:r>
              <w:rPr>
                <w:sz w:val="18"/>
              </w:rPr>
              <w:t>D2 — Multitâche avec le diagnostic</w:t>
            </w:r>
          </w:p>
        </w:tc>
        <w:tc>
          <w:tcPr>
            <w:tcW w:type="dxa" w:w="1728"/>
          </w:tcPr>
          <w:p>
            <w:r/>
            <w:r>
              <w:rPr>
                <w:sz w:val="18"/>
              </w:rPr>
              <w:t>1–2 sem.</w:t>
            </w:r>
          </w:p>
        </w:tc>
        <w:tc>
          <w:tcPr>
            <w:tcW w:type="dxa" w:w="1728"/>
          </w:tcPr>
          <w:p>
            <w:r/>
            <w:r>
              <w:rPr>
                <w:sz w:val="18"/>
              </w:rPr>
              <w:t>Incertain</w:t>
            </w:r>
          </w:p>
        </w:tc>
        <w:tc>
          <w:tcPr>
            <w:tcW w:type="dxa" w:w="1728"/>
          </w:tcPr>
          <w:p>
            <w:r/>
            <w:r>
              <w:rPr>
                <w:sz w:val="18"/>
              </w:rPr>
              <w:t>Moyen</w:t>
            </w:r>
          </w:p>
        </w:tc>
      </w:tr>
      <w:tr>
        <w:tc>
          <w:tcPr>
            <w:tcW w:type="dxa" w:w="1728"/>
          </w:tcPr>
          <w:p>
            <w:r/>
            <w:r>
              <w:rPr>
                <w:sz w:val="18"/>
              </w:rPr>
              <w:t>12</w:t>
            </w:r>
          </w:p>
        </w:tc>
        <w:tc>
          <w:tcPr>
            <w:tcW w:type="dxa" w:w="1728"/>
          </w:tcPr>
          <w:p>
            <w:r/>
            <w:r>
              <w:rPr>
                <w:sz w:val="18"/>
              </w:rPr>
              <w:t>D1 — Pré-entraînement / modèle de fondation</w:t>
            </w:r>
          </w:p>
        </w:tc>
        <w:tc>
          <w:tcPr>
            <w:tcW w:type="dxa" w:w="1728"/>
          </w:tcPr>
          <w:p>
            <w:r/>
            <w:r>
              <w:rPr>
                <w:sz w:val="18"/>
              </w:rPr>
              <w:t>3–6 sem.</w:t>
            </w:r>
          </w:p>
        </w:tc>
        <w:tc>
          <w:tcPr>
            <w:tcW w:type="dxa" w:w="1728"/>
          </w:tcPr>
          <w:p>
            <w:r/>
            <w:r>
              <w:rPr>
                <w:sz w:val="18"/>
              </w:rPr>
              <w:t>Incertain</w:t>
            </w:r>
          </w:p>
        </w:tc>
        <w:tc>
          <w:tcPr>
            <w:tcW w:type="dxa" w:w="1728"/>
          </w:tcPr>
          <w:p>
            <w:r/>
            <w:r>
              <w:rPr>
                <w:sz w:val="18"/>
              </w:rPr>
              <w:t>Élevé</w:t>
            </w:r>
          </w:p>
        </w:tc>
      </w:tr>
    </w:tbl>
    <w:p/>
    <w:p>
      <w:pPr>
        <w:spacing w:before="80" w:after="160"/>
      </w:pPr>
      <w:r>
        <w:rPr>
          <w:b/>
          <w:color w:val="B45309"/>
        </w:rPr>
        <w:t xml:space="preserve">Note : </w:t>
      </w:r>
      <w:r>
        <w:t>Les étapes 1 à 4 représentent environ deux semaines et suffisent à rendre notre comparaison avec l'article recevable. Les étapes 8 et 9 sont celles qui peuvent produire un résultat publiable, dans les deux directions possibles.</w:t>
      </w:r>
    </w:p>
    <w:p>
      <w:pPr>
        <w:pStyle w:val="Heading1"/>
      </w:pPr>
      <w:r>
        <w:rPr>
          <w:color w:val="1E3A8A"/>
        </w:rPr>
        <w:t>Partie V — Ce qui compterait comme « dépasser l'article »</w:t>
      </w:r>
    </w:p>
    <w:p>
      <w:r>
        <w:rPr>
          <w:i w:val="0"/>
          <w:sz w:val="22"/>
        </w:rPr>
        <w:t>Trois critères, du plus faible au plus fort. Le premier ne vaut pas grand-chose ; le troisième est le seul qui change quelque chose pour un patient.</w:t>
      </w:r>
    </w:p>
    <w:p>
      <w:pPr>
        <w:pStyle w:val="ListBullet"/>
      </w:pPr>
      <w:r>
        <w:t>Faible — obtenir r &gt; 0,401 sur le protocole 1. Notre propre mesure montre qu'un r de cet ordre est instable à n = 44 : notre chaîne atteint jusqu'à 0,229 en valeur absolue sur des étiquettes aléatoires. Battre 0,401 une fois ne prouverait rien.</w:t>
      </w:r>
    </w:p>
    <w:p>
      <w:pPr>
        <w:pStyle w:val="ListBullet"/>
      </w:pPr>
      <w:r>
        <w:t>Moyen — obtenir un r qui survive à trois conditions simultanées : correction pour comparaisons multiples sur toutes les configurations essayées, réentraînement complet sur étiquettes permutées, et un R² positif. Aucun bras de ce projet, ni le leur pour ce qu'on peut en juger, ne remplit aujourd'hui les trois.</w:t>
      </w:r>
    </w:p>
    <w:p>
      <w:pPr>
        <w:pStyle w:val="ListBullet"/>
      </w:pPr>
      <w:r>
        <w:t>Fort — obtenir une corrélation partielle significative après résidualisation du BDI-II initial, ou un résultat équivalent sur le pourcentage de réduction. C'est la seule démonstration que l'EEG apporte quelque chose que le formulaire d'admission ne contient pas déjà. Personne ne l'a produite sur cette cohorte, l'article compris.</w:t>
      </w:r>
    </w:p>
    <w:p>
      <w:pPr>
        <w:spacing w:before="80" w:after="160"/>
      </w:pPr>
      <w:r>
        <w:rPr>
          <w:b/>
          <w:color w:val="991B1B"/>
        </w:rPr>
        <w:t xml:space="preserve">Attention : </w:t>
      </w:r>
      <w:r>
        <w:t>Le troisième critère est atteignable même si le r reste modeste, et il est plus défendable devant un jury qu'un r plus élevé sans contrôle du confondant. C'est la cible à viser.</w:t>
      </w:r>
    </w:p>
    <w:p/>
    <w:p>
      <w:r>
        <w:rPr>
          <w:i w:val="0"/>
          <w:sz w:val="22"/>
        </w:rPr>
        <w:t>Un résultat négatif reste possible, et il resterait publiable à trois conditions : que la parité de prétraitement soit établie (A0), que la représentation par covariance ait été essayée (A1), et que la méthode de l'article ait été reproduite (R1). Un résultat nul obtenu avec une chaîne reconnue équivalente est une contribution ; le même résultat obtenu avec une chaîne plus faible n'en est pas une.</w:t>
      </w:r>
    </w:p>
    <w:p>
      <w:r>
        <w:br w:type="page"/>
      </w:r>
    </w:p>
    <w:p>
      <w:pPr>
        <w:pStyle w:val="Heading1"/>
      </w:pPr>
      <w:r>
        <w:rPr>
          <w:color w:val="1E3A8A"/>
        </w:rPr>
        <w:t>Références</w:t>
      </w:r>
    </w:p>
    <w:p>
      <w:r>
        <w:rPr>
          <w:b/>
          <w:sz w:val="20"/>
        </w:rPr>
        <w:t xml:space="preserve">Étude de référence — </w:t>
      </w:r>
      <w:r>
        <w:rPr>
          <w:sz w:val="20"/>
        </w:rPr>
        <w:t>Arteaga-Henríquez et al., « Multiband EEG signature decoded using machine learning for predicting rTMS treatment response in major depression ». PMC12981298 / PMC11469383.</w:t>
      </w:r>
    </w:p>
    <w:p>
      <w:r>
        <w:rPr>
          <w:b/>
          <w:sz w:val="20"/>
        </w:rPr>
        <w:t xml:space="preserve">SBLEST — </w:t>
      </w:r>
      <w:r>
        <w:rPr>
          <w:sz w:val="20"/>
        </w:rPr>
        <w:t>Wang, Qi, Wipf et al., « Sparse Bayesian Learning for End-to-End EEG Decoding », IEEE TPAMI, 2023. Code public : github.com/EEGdecoding/Code-SBLEST</w:t>
      </w:r>
    </w:p>
    <w:p>
      <w:r>
        <w:rPr>
          <w:b/>
          <w:sz w:val="20"/>
        </w:rPr>
        <w:t xml:space="preserve">Géométrie riemannienne, revue — </w:t>
      </w:r>
      <w:r>
        <w:rPr>
          <w:sz w:val="20"/>
        </w:rPr>
        <w:t>« Riemannian Geometry-Based EEG Approaches: A Literature Review », arXiv:2407.20250.</w:t>
      </w:r>
    </w:p>
    <w:p>
      <w:r>
        <w:rPr>
          <w:b/>
          <w:sz w:val="20"/>
        </w:rPr>
        <w:t xml:space="preserve">Espace tangent et régression EEG — </w:t>
      </w:r>
      <w:r>
        <w:rPr>
          <w:sz w:val="20"/>
        </w:rPr>
        <w:t>« Riemannian tangent space mapping and elastic net regularization for cost-effective EEG markers of brain atrophy in Alzheimer's disease », arXiv:1711.08359.</w:t>
      </w:r>
    </w:p>
    <w:p>
      <w:r>
        <w:rPr>
          <w:b/>
          <w:sz w:val="20"/>
        </w:rPr>
        <w:t xml:space="preserve">Régression EEG et espace tangent — </w:t>
      </w:r>
      <w:r>
        <w:rPr>
          <w:sz w:val="20"/>
        </w:rPr>
        <w:t>« Manifold-regression to predict from MEG/EEG brain signals », NeurIPS 2019.</w:t>
      </w:r>
    </w:p>
    <w:p>
      <w:r>
        <w:rPr>
          <w:b/>
          <w:sz w:val="20"/>
        </w:rPr>
        <w:t xml:space="preserve">Prédiction de réponse à la rTMS, revue — </w:t>
      </w:r>
      <w:r>
        <w:rPr>
          <w:sz w:val="20"/>
        </w:rPr>
        <w:t>« Response prediction for repetitive transcranial magnetic stimulation treatment », PMC12337929. Désigne l'IAPF comme le marqueur le plus robuste.</w:t>
      </w:r>
    </w:p>
    <w:p>
      <w:r>
        <w:rPr>
          <w:b/>
          <w:sz w:val="20"/>
        </w:rPr>
        <w:t xml:space="preserve">Biomarqueur EEG clinique — </w:t>
      </w:r>
      <w:r>
        <w:rPr>
          <w:sz w:val="20"/>
        </w:rPr>
        <w:t>« An EEG-based digital biomarker for personalizing transcranial magnetic stimulation in major depressive disorder », npj Digital Medicine, 2026.</w:t>
      </w:r>
    </w:p>
    <w:p>
      <w:r>
        <w:rPr>
          <w:b/>
          <w:sz w:val="20"/>
        </w:rPr>
        <w:t xml:space="preserve">Sévérité initiale et régression vers la moyenne — </w:t>
      </w:r>
      <w:r>
        <w:rPr>
          <w:sz w:val="20"/>
        </w:rPr>
        <w:t>« Baseline depression severity as a predictor of single and combination antidepressant treatment outcome : CO-MED trial », PMC3273676. Et « Dangers of including outcome at baseline as a covariate in latent change score models », PMC10160499.</w:t>
      </w:r>
    </w:p>
    <w:p>
      <w:r>
        <w:rPr>
          <w:b/>
          <w:sz w:val="20"/>
        </w:rPr>
        <w:t xml:space="preserve">Modèles de fondation EEG — </w:t>
      </w:r>
      <w:r>
        <w:rPr>
          <w:sz w:val="20"/>
        </w:rPr>
        <w:t>LaBraM, EEGPT, CBraMod, BIOT. Mise à l'épreuve par contrôles négatifs : « Stress-Testing EEG Foundation Models for Clinical Decoding », arXiv 2026.</w:t>
      </w:r>
    </w:p>
    <w:p>
      <w:r>
        <w:rPr>
          <w:b/>
          <w:sz w:val="20"/>
        </w:rPr>
        <w:t xml:space="preserve">Pente apériodique et équilibre E/I — </w:t>
      </w:r>
      <w:r>
        <w:rPr>
          <w:sz w:val="20"/>
        </w:rPr>
        <w:t>Gao, Peterson &amp; Voytek, « Inferring synaptic excitation/inhibition balance from field potentials », NeuroImage, 2017.</w:t>
      </w:r>
    </w:p>
    <w:p/>
    <w:p>
      <w:pPr>
        <w:jc w:val="center"/>
      </w:pPr>
      <w:r>
        <w:rPr>
          <w:i/>
          <w:sz w:val="18"/>
        </w:rPr>
        <w:t>Chiffres du projet lus depuis data/models/hypo_ablation.json, r_stability.json et article_comparison.json.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