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d'utilisation</w:t>
      </w:r>
    </w:p>
    <w:p>
      <w:pPr>
        <w:jc w:val="center"/>
      </w:pPr>
      <w:r>
        <w:rPr>
          <w:sz w:val="28"/>
        </w:rPr>
        <w:t>NeuroRéponse — application rTMS + LSTM (EEG / ECG)</w:t>
      </w:r>
    </w:p>
    <w:p>
      <w:pPr>
        <w:jc w:val="center"/>
      </w:pPr>
      <w:r>
        <w:rPr>
          <w:i/>
          <w:sz w:val="22"/>
        </w:rPr>
        <w:t>PFE 2026 — prise en main écran par écran</w:t>
      </w:r>
    </w:p>
    <w:p/>
    <w:p>
      <w:r>
        <w:t>Ce guide présente l'application écran par écran : à quoi sert chaque page, comment l'utiliser, et comment lire ce qu'elle affiche. Il s'adresse à un utilisateur — clinicien, chercheur ou examinateur — qui découvre l'application.</w:t>
      </w:r>
    </w:p>
    <w:p>
      <w:r>
        <w:rPr>
          <w:i/>
        </w:rPr>
        <w:t>L'installation n'est pas traitée ici : voir le « Guide d'installation ». Ce guide suppose l'application lancée et au moins une cohorte chargée.</w:t>
      </w:r>
    </w:p>
    <w:p>
      <w:r>
        <w:br w:type="page"/>
      </w:r>
    </w:p>
    <w:p>
      <w:pPr>
        <w:pStyle w:val="Heading1"/>
      </w:pPr>
      <w:r>
        <w:rPr>
          <w:color w:val="1E3A8A"/>
        </w:rPr>
        <w:t>1. Principes à connaître avant de commencer</w:t>
      </w:r>
    </w:p>
    <w:p>
      <w:pPr>
        <w:pStyle w:val="Heading2"/>
      </w:pPr>
      <w:r>
        <w:rPr>
          <w:color w:val="1E3A8A"/>
        </w:rPr>
        <w:t>1.1 Trois cohortes, jamais mélangées</w:t>
      </w:r>
    </w:p>
    <w:p>
      <w:r>
        <w:t>La barre latérale porte jusqu'à quatre sélecteurs, présents sur toutes les pages. « Cohorte » choisit les patients ; « Objectif » choisit ce que le modèle prédit ; « Protocole rTMS » choisit le bras de traitement ; « Jeu de variables » choisit les entrées du modèle. Ensemble ils commandent l'intégralité de l'application : chaque cohorte a sa propre base SQLite, chaque modèle son propre fichier de poids. Un patient simulé et un patient réel ne peuvent donc jamais se retrouver dans la même table ni dans le même entraînement.</w:t>
      </w:r>
    </w:p>
    <w:p>
      <w:r>
        <w:t>Les deux derniers sélecteurs n'apparaissent que lorsqu'ils ont un sens. « Objectif » est masqué pour la cohorte séquentielle, qui n'a pas de modèle de régression. « Protocole rTMS » n'apparaît que pour l'objectif « Réduction BDI-II » : seuls ces modèles-là sont ajustés protocole par protocole, et sélectionner un bras filtre aussi la liste des patients — un modèle ajusté sur le protocole 1 ne doit jamais prédire sur un patient traité selon le protocole 2, qui a reçu un autre traitement.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r>
          </w:p>
        </w:tc>
        <w:tc>
          <w:tcPr>
            <w:tcW w:type="dxa" w:w="2160"/>
          </w:tcPr>
          <w:p>
            <w:r/>
            <w:r>
              <w:rPr>
                <w:b/>
                <w:sz w:val="18"/>
              </w:rPr>
              <w:t>Simulé — séquentiel</w:t>
            </w:r>
          </w:p>
        </w:tc>
        <w:tc>
          <w:tcPr>
            <w:tcW w:type="dxa" w:w="2160"/>
          </w:tcPr>
          <w:p>
            <w:r/>
            <w:r>
              <w:rPr>
                <w:b/>
                <w:sz w:val="18"/>
              </w:rPr>
              <w:t>Simulé — apparié</w:t>
            </w:r>
          </w:p>
        </w:tc>
        <w:tc>
          <w:tcPr>
            <w:tcW w:type="dxa" w:w="2160"/>
          </w:tcPr>
          <w:p>
            <w:r/>
            <w:r>
              <w:rPr>
                <w:b/>
                <w:sz w:val="18"/>
              </w:rPr>
              <w:t>TDBRAIN (réel)</w:t>
            </w:r>
          </w:p>
        </w:tc>
      </w:tr>
      <w:tr>
        <w:tc>
          <w:tcPr>
            <w:tcW w:type="dxa" w:w="2160"/>
          </w:tcPr>
          <w:p>
            <w:r/>
            <w:r>
              <w:rPr>
                <w:sz w:val="18"/>
              </w:rPr>
              <w:t>Origine</w:t>
            </w:r>
          </w:p>
        </w:tc>
        <w:tc>
          <w:tcPr>
            <w:tcW w:type="dxa" w:w="2160"/>
          </w:tcPr>
          <w:p>
            <w:r/>
            <w:r>
              <w:rPr>
                <w:sz w:val="18"/>
              </w:rPr>
              <w:t>Générateur du projet</w:t>
            </w:r>
          </w:p>
        </w:tc>
        <w:tc>
          <w:tcPr>
            <w:tcW w:type="dxa" w:w="2160"/>
          </w:tcPr>
          <w:p>
            <w:r/>
            <w:r>
              <w:rPr>
                <w:sz w:val="18"/>
              </w:rPr>
              <w:t>Générateur calibré sur TDBRAIN</w:t>
            </w:r>
          </w:p>
        </w:tc>
        <w:tc>
          <w:tcPr>
            <w:tcW w:type="dxa" w:w="2160"/>
          </w:tcPr>
          <w:p>
            <w:r/>
            <w:r>
              <w:rPr>
                <w:sz w:val="18"/>
              </w:rPr>
              <w:t>Cohorte publique Brainclinics</w:t>
            </w:r>
          </w:p>
        </w:tc>
      </w:tr>
      <w:tr>
        <w:tc>
          <w:tcPr>
            <w:tcW w:type="dxa" w:w="2160"/>
          </w:tcPr>
          <w:p>
            <w:r/>
            <w:r>
              <w:rPr>
                <w:sz w:val="18"/>
              </w:rPr>
              <w:t>Patients</w:t>
            </w:r>
          </w:p>
        </w:tc>
        <w:tc>
          <w:tcPr>
            <w:tcW w:type="dxa" w:w="2160"/>
          </w:tcPr>
          <w:p>
            <w:r/>
            <w:r>
              <w:rPr>
                <w:sz w:val="18"/>
              </w:rPr>
              <w:t>100</w:t>
            </w:r>
          </w:p>
        </w:tc>
        <w:tc>
          <w:tcPr>
            <w:tcW w:type="dxa" w:w="2160"/>
          </w:tcPr>
          <w:p>
            <w:r/>
            <w:r>
              <w:rPr>
                <w:sz w:val="18"/>
              </w:rPr>
              <w:t>132</w:t>
            </w:r>
          </w:p>
        </w:tc>
        <w:tc>
          <w:tcPr>
            <w:tcW w:type="dxa" w:w="2160"/>
          </w:tcPr>
          <w:p>
            <w:r/>
            <w:r>
              <w:rPr>
                <w:sz w:val="18"/>
              </w:rPr>
              <w:t>132 (MDD traités par rTMS)</w:t>
            </w:r>
          </w:p>
        </w:tc>
      </w:tr>
      <w:tr>
        <w:tc>
          <w:tcPr>
            <w:tcW w:type="dxa" w:w="2160"/>
          </w:tcPr>
          <w:p>
            <w:r/>
            <w:r>
              <w:rPr>
                <w:sz w:val="18"/>
              </w:rPr>
              <w:t>Axe temporel</w:t>
            </w:r>
          </w:p>
        </w:tc>
        <w:tc>
          <w:tcPr>
            <w:tcW w:type="dxa" w:w="2160"/>
          </w:tcPr>
          <w:p>
            <w:r/>
            <w:r>
              <w:rPr>
                <w:sz w:val="18"/>
              </w:rPr>
              <w:t>10 séances de traitement</w:t>
            </w:r>
          </w:p>
        </w:tc>
        <w:tc>
          <w:tcPr>
            <w:tcW w:type="dxa" w:w="2160"/>
          </w:tcPr>
          <w:p>
            <w:r/>
            <w:r>
              <w:rPr>
                <w:sz w:val="18"/>
              </w:rPr>
              <w:t>8 époques d'un enregistrement</w:t>
            </w:r>
          </w:p>
        </w:tc>
        <w:tc>
          <w:tcPr>
            <w:tcW w:type="dxa" w:w="2160"/>
          </w:tcPr>
          <w:p>
            <w:r/>
            <w:r>
              <w:rPr>
                <w:sz w:val="18"/>
              </w:rPr>
              <w:t>8 époques d'un enregistrement</w:t>
            </w:r>
          </w:p>
        </w:tc>
      </w:tr>
      <w:tr>
        <w:tc>
          <w:tcPr>
            <w:tcW w:type="dxa" w:w="2160"/>
          </w:tcPr>
          <w:p>
            <w:r/>
            <w:r>
              <w:rPr>
                <w:sz w:val="18"/>
              </w:rPr>
              <w:t>Signal</w:t>
            </w:r>
          </w:p>
        </w:tc>
        <w:tc>
          <w:tcPr>
            <w:tcW w:type="dxa" w:w="2160"/>
          </w:tcPr>
          <w:p>
            <w:r/>
            <w:r>
              <w:rPr>
                <w:sz w:val="18"/>
              </w:rPr>
              <w:t>1 canal EEG</w:t>
            </w:r>
          </w:p>
        </w:tc>
        <w:tc>
          <w:tcPr>
            <w:tcW w:type="dxa" w:w="2160"/>
          </w:tcPr>
          <w:p>
            <w:r/>
            <w:r>
              <w:rPr>
                <w:sz w:val="18"/>
              </w:rPr>
              <w:t>26 canaux EEG + ECG</w:t>
            </w:r>
          </w:p>
        </w:tc>
        <w:tc>
          <w:tcPr>
            <w:tcW w:type="dxa" w:w="2160"/>
          </w:tcPr>
          <w:p>
            <w:r/>
            <w:r>
              <w:rPr>
                <w:sz w:val="18"/>
              </w:rPr>
              <w:t>26 canaux EEG + ECG</w:t>
            </w:r>
          </w:p>
        </w:tc>
      </w:tr>
      <w:tr>
        <w:tc>
          <w:tcPr>
            <w:tcW w:type="dxa" w:w="2160"/>
          </w:tcPr>
          <w:p>
            <w:r/>
            <w:r>
              <w:rPr>
                <w:sz w:val="18"/>
              </w:rPr>
              <w:t>Modèles</w:t>
            </w:r>
          </w:p>
        </w:tc>
        <w:tc>
          <w:tcPr>
            <w:tcW w:type="dxa" w:w="2160"/>
          </w:tcPr>
          <w:p>
            <w:r/>
            <w:r>
              <w:rPr>
                <w:sz w:val="18"/>
              </w:rPr>
              <w:t>1 (8 features)</w:t>
            </w:r>
          </w:p>
        </w:tc>
        <w:tc>
          <w:tcPr>
            <w:tcW w:type="dxa" w:w="2160"/>
          </w:tcPr>
          <w:p>
            <w:r/>
            <w:r>
              <w:rPr>
                <w:sz w:val="18"/>
              </w:rPr>
              <w:t>2 binaires + 5 régressions (ΔBDI, par protocole)</w:t>
            </w:r>
          </w:p>
        </w:tc>
        <w:tc>
          <w:tcPr>
            <w:tcW w:type="dxa" w:w="2160"/>
          </w:tcPr>
          <w:p>
            <w:r/>
            <w:r>
              <w:rPr>
                <w:sz w:val="18"/>
              </w:rPr>
              <w:t>2 binaires + 5 régressions (ΔBDI, par protocole)</w:t>
            </w:r>
          </w:p>
        </w:tc>
      </w:tr>
      <w:tr>
        <w:tc>
          <w:tcPr>
            <w:tcW w:type="dxa" w:w="2160"/>
          </w:tcPr>
          <w:p>
            <w:r/>
            <w:r>
              <w:rPr>
                <w:sz w:val="18"/>
              </w:rPr>
              <w:t>Base</w:t>
            </w:r>
          </w:p>
        </w:tc>
        <w:tc>
          <w:tcPr>
            <w:tcW w:type="dxa" w:w="2160"/>
          </w:tcPr>
          <w:p>
            <w:r/>
            <w:r>
              <w:rPr>
                <w:sz w:val="18"/>
              </w:rPr>
              <w:t>recherche.sqlite3</w:t>
            </w:r>
          </w:p>
        </w:tc>
        <w:tc>
          <w:tcPr>
            <w:tcW w:type="dxa" w:w="2160"/>
          </w:tcPr>
          <w:p>
            <w:r/>
            <w:r>
              <w:rPr>
                <w:sz w:val="18"/>
              </w:rPr>
              <w:t>recherche_sim_matched.sqlite3</w:t>
            </w:r>
          </w:p>
        </w:tc>
        <w:tc>
          <w:tcPr>
            <w:tcW w:type="dxa" w:w="2160"/>
          </w:tcPr>
          <w:p>
            <w:r/>
            <w:r>
              <w:rPr>
                <w:sz w:val="18"/>
              </w:rPr>
              <w:t>recherche_tdbrain.sqlite3</w:t>
            </w:r>
          </w:p>
        </w:tc>
      </w:tr>
    </w:tbl>
    <w:p/>
    <w:p>
      <w:pPr>
        <w:spacing w:before="80" w:after="160"/>
      </w:pPr>
      <w:r>
        <w:rPr>
          <w:b/>
          <w:color w:val="B45309"/>
        </w:rPr>
        <w:t xml:space="preserve">Note : </w:t>
      </w:r>
      <w:r>
        <w:t>Les deux cohortes simulées ne sont pas la même. La séquentielle est la seule où le modèle accumule l'information au fil des séances. L'appariée reproduit la structure de TDBRAIN et sert de contrôle : elle est générée sans effet neurophysiologique injecté.</w:t>
      </w:r>
    </w:p>
    <w:p>
      <w:pPr>
        <w:pStyle w:val="Heading2"/>
      </w:pPr>
      <w:r>
        <w:rPr>
          <w:color w:val="1E3A8A"/>
        </w:rPr>
        <w:t>1.2 « Séance » ne veut pas dire la même chose</w:t>
      </w:r>
    </w:p>
    <w:p>
      <w:pPr>
        <w:spacing w:before="80" w:after="160"/>
      </w:pPr>
      <w:r>
        <w:rPr>
          <w:b/>
          <w:color w:val="991B1B"/>
        </w:rPr>
        <w:t xml:space="preserve">Attention : </w:t>
      </w:r>
      <w:r>
        <w:t>C'est le point le plus important pour lire correctement l'application. Dans la cohorte simulée, une séance est une vraie séance de traitement : il y a une évolution au fil du temps. Dans TDBRAIN, il n'existe qu'un seul enregistrement de repos réalisé AVANT le traitement ; ce qui est appelé « époque » est une fenêtre de ce même enregistrement. Il n'y a donc aucune trajectoire clinique à observer dans TDBRAIN.</w:t>
      </w:r>
    </w:p>
    <w:p>
      <w:r>
        <w:t>L'application signale systématiquement cette différence à l'écran : les libellés passent de « séance » à « époque », et des encadrés rappellent que les paramètres rTMS et les scores BDI-II sont identiques d'une époque à l'autre.</w:t>
      </w:r>
    </w:p>
    <w:p>
      <w:pPr>
        <w:pStyle w:val="Heading2"/>
      </w:pPr>
      <w:r>
        <w:rPr>
          <w:color w:val="1E3A8A"/>
        </w:rPr>
        <w:t>1.3 Le score utilisé</w:t>
      </w:r>
    </w:p>
    <w:p>
      <w:r>
        <w:t>La réponse au traitement est évaluée avec le BDI-II (échelle de dépression). Un patient est dit « répondeur » lorsque son score diminue d'au moins 50 % entre le début et la fin du traitement. C'est ce seuil de 50 % que le modèle apprend à prédire, et qui apparaît en pointillés sur les graphiques.</w:t>
      </w:r>
    </w:p>
    <w:p>
      <w:pPr>
        <w:pStyle w:val="Heading2"/>
      </w:pPr>
      <w:r>
        <w:rPr>
          <w:color w:val="1E3A8A"/>
        </w:rPr>
        <w:t>1.4 Deux objectifs : réponse binaire ou réduction BDI-II</w:t>
      </w:r>
    </w:p>
    <w:p>
      <w:r>
        <w:t>Le sélecteur « Objectif » commande ce que le modèle prédit, et donc ce que les pages affichent.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Réponse binaire</w:t>
            </w:r>
          </w:p>
        </w:tc>
        <w:tc>
          <w:tcPr>
            <w:tcW w:type="dxa" w:w="2880"/>
          </w:tcPr>
          <w:p>
            <w:r/>
            <w:r>
              <w:rPr>
                <w:b/>
                <w:sz w:val="18"/>
              </w:rPr>
              <w:t>Réduction BDI-II (ΔBDI)</w:t>
            </w:r>
          </w:p>
        </w:tc>
      </w:tr>
      <w:tr>
        <w:tc>
          <w:tcPr>
            <w:tcW w:type="dxa" w:w="2880"/>
          </w:tcPr>
          <w:p>
            <w:r/>
            <w:r>
              <w:rPr>
                <w:sz w:val="18"/>
              </w:rPr>
              <w:t>Cible</w:t>
            </w:r>
          </w:p>
        </w:tc>
        <w:tc>
          <w:tcPr>
            <w:tcW w:type="dxa" w:w="2880"/>
          </w:tcPr>
          <w:p>
            <w:r/>
            <w:r>
              <w:rPr>
                <w:sz w:val="18"/>
              </w:rPr>
              <w:t>Répondeur : ≥ 50 % de réduction</w:t>
            </w:r>
          </w:p>
        </w:tc>
        <w:tc>
          <w:tcPr>
            <w:tcW w:type="dxa" w:w="2880"/>
          </w:tcPr>
          <w:p>
            <w:r/>
            <w:r>
              <w:rPr>
                <w:sz w:val="18"/>
              </w:rPr>
              <w:t>Nombre de points BDI-II récupérés</w:t>
            </w:r>
          </w:p>
        </w:tc>
      </w:tr>
      <w:tr>
        <w:tc>
          <w:tcPr>
            <w:tcW w:type="dxa" w:w="2880"/>
          </w:tcPr>
          <w:p>
            <w:r/>
            <w:r>
              <w:rPr>
                <w:sz w:val="18"/>
              </w:rPr>
              <w:t>Sortie affichée</w:t>
            </w:r>
          </w:p>
        </w:tc>
        <w:tc>
          <w:tcPr>
            <w:tcW w:type="dxa" w:w="2880"/>
          </w:tcPr>
          <w:p>
            <w:r/>
            <w:r>
              <w:rPr>
                <w:sz w:val="18"/>
              </w:rPr>
              <w:t>Probabilité (ex. 63 %)</w:t>
            </w:r>
          </w:p>
        </w:tc>
        <w:tc>
          <w:tcPr>
            <w:tcW w:type="dxa" w:w="2880"/>
          </w:tcPr>
          <w:p>
            <w:r/>
            <w:r>
              <w:rPr>
                <w:sz w:val="18"/>
              </w:rPr>
              <w:t>Points récupérés (ex. +14,0 pts) et part du score initial</w:t>
            </w:r>
          </w:p>
        </w:tc>
      </w:tr>
      <w:tr>
        <w:tc>
          <w:tcPr>
            <w:tcW w:type="dxa" w:w="2880"/>
          </w:tcPr>
          <w:p>
            <w:r/>
            <w:r>
              <w:rPr>
                <w:sz w:val="18"/>
              </w:rPr>
              <w:t>Protocoles</w:t>
            </w:r>
          </w:p>
        </w:tc>
        <w:tc>
          <w:tcPr>
            <w:tcW w:type="dxa" w:w="2880"/>
          </w:tcPr>
          <w:p>
            <w:r/>
            <w:r>
              <w:rPr>
                <w:sz w:val="18"/>
              </w:rPr>
              <w:t>Poolés (un seul modèle)</w:t>
            </w:r>
          </w:p>
        </w:tc>
        <w:tc>
          <w:tcPr>
            <w:tcW w:type="dxa" w:w="2880"/>
          </w:tcPr>
          <w:p>
            <w:r/>
            <w:r>
              <w:rPr>
                <w:sz w:val="18"/>
              </w:rPr>
              <w:t>Séparés (un modèle par protocole)</w:t>
            </w:r>
          </w:p>
        </w:tc>
      </w:tr>
      <w:tr>
        <w:tc>
          <w:tcPr>
            <w:tcW w:type="dxa" w:w="2880"/>
          </w:tcPr>
          <w:p>
            <w:r/>
            <w:r>
              <w:rPr>
                <w:sz w:val="18"/>
              </w:rPr>
              <w:t>Score</w:t>
            </w:r>
          </w:p>
        </w:tc>
        <w:tc>
          <w:tcPr>
            <w:tcW w:type="dxa" w:w="2880"/>
          </w:tcPr>
          <w:p>
            <w:r/>
            <w:r>
              <w:rPr>
                <w:sz w:val="18"/>
              </w:rPr>
              <w:t>AUC, exactitude, F1</w:t>
            </w:r>
          </w:p>
        </w:tc>
        <w:tc>
          <w:tcPr>
            <w:tcW w:type="dxa" w:w="2880"/>
          </w:tcPr>
          <w:p>
            <w:r/>
            <w:r>
              <w:rPr>
                <w:sz w:val="18"/>
              </w:rPr>
              <w:t>Corrélation de Pearson, test de permutation</w:t>
            </w:r>
          </w:p>
        </w:tc>
      </w:tr>
      <w:tr>
        <w:tc>
          <w:tcPr>
            <w:tcW w:type="dxa" w:w="2880"/>
          </w:tcPr>
          <w:p>
            <w:r/>
            <w:r>
              <w:rPr>
                <w:sz w:val="18"/>
              </w:rPr>
              <w:t>Origine</w:t>
            </w:r>
          </w:p>
        </w:tc>
        <w:tc>
          <w:tcPr>
            <w:tcW w:type="dxa" w:w="2880"/>
          </w:tcPr>
          <w:p>
            <w:r/>
            <w:r>
              <w:rPr>
                <w:sz w:val="18"/>
              </w:rPr>
              <w:t>Conception initiale du projet</w:t>
            </w:r>
          </w:p>
        </w:tc>
        <w:tc>
          <w:tcPr>
            <w:tcW w:type="dxa" w:w="2880"/>
          </w:tcPr>
          <w:p>
            <w:r/>
            <w:r>
              <w:rPr>
                <w:sz w:val="18"/>
              </w:rPr>
              <w:t>Méthode de l'étude de référence (PMC12981298)</w:t>
            </w:r>
          </w:p>
        </w:tc>
      </w:tr>
    </w:tbl>
    <w:p/>
    <w:p>
      <w:pPr>
        <w:spacing w:before="80" w:after="160"/>
      </w:pPr>
      <w:r>
        <w:rPr>
          <w:b/>
          <w:color w:val="B45309"/>
        </w:rPr>
        <w:t xml:space="preserve">Note : </w:t>
      </w:r>
      <w:r>
        <w:t>Piège à connaître avant de lire un résultat de régression : la réduction en points est mécaniquement liée à la sévérité initiale — on ne peut pas récupérer 40 points en partant d'un score de 20. Sur le protocole 1, le BDI-II d'admission atteint à lui seul une corrélation de 0,500 avec la cible, soit davantage que le 0,401 annoncé par l'étude de référence à partir de l'EEG. C'est pourquoi chaque modèle multimodal est présenté à côté de son modèle « clinique seul » : seule cette comparaison dit si l'EEG a apporté quoi que ce soit.</w:t>
      </w:r>
    </w:p>
    <w:p>
      <w:r>
        <w:br w:type="page"/>
      </w:r>
    </w:p>
    <w:p>
      <w:pPr>
        <w:pStyle w:val="Heading1"/>
      </w:pPr>
      <w:r>
        <w:rPr>
          <w:color w:val="1E3A8A"/>
        </w:rPr>
        <w:t>2. Page d'accueil</w:t>
      </w:r>
    </w:p>
    <w:p>
      <w:r>
        <w:t>Point d'entrée de l'application. Elle rappelle l'objet du projet, affiche l'état de la base pour la source sélectionnée, et permet d'initialiser la cohorte simulée en un clic si la base est vide.</w:t>
      </w:r>
    </w:p>
    <w:p>
      <w:pPr>
        <w:jc w:val="center"/>
      </w:pPr>
      <w:r>
        <w:drawing>
          <wp:inline xmlns:a="http://schemas.openxmlformats.org/drawingml/2006/main" xmlns:pic="http://schemas.openxmlformats.org/drawingml/2006/picture">
            <wp:extent cx="5400000" cy="3471429"/>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400000" cy="3471429"/>
                    </a:xfrm>
                    <a:prstGeom prst="rect"/>
                  </pic:spPr>
                </pic:pic>
              </a:graphicData>
            </a:graphic>
          </wp:inline>
        </w:drawing>
      </w:r>
    </w:p>
    <w:p>
      <w:pPr>
        <w:jc w:val="center"/>
      </w:pPr>
      <w:r>
        <w:rPr>
          <w:i/>
          <w:sz w:val="18"/>
        </w:rPr>
        <w:t>Figure : Page d'accueil, cohorte simulée</w:t>
      </w:r>
    </w:p>
    <w:p>
      <w:pPr>
        <w:pStyle w:val="ListBullet"/>
      </w:pPr>
      <w:r>
        <w:t>Les sélecteurs (« Cohorte », « Objectif », « Protocole rTMS », « Jeu de variables ») sont en haut de la barre latérale ; ils restent actifs quand on change de page.</w:t>
      </w:r>
    </w:p>
    <w:p>
      <w:pPr>
        <w:pStyle w:val="ListBullet"/>
      </w:pPr>
      <w:r>
        <w:t>Quand un protocole est sélectionné, le compteur de patients n'affiche que ce bras (44 pour le protocole 1, 88 pour le protocole 2).</w:t>
      </w:r>
    </w:p>
    <w:p>
      <w:pPr>
        <w:pStyle w:val="ListBullet"/>
      </w:pPr>
      <w:r>
        <w:t>La quatrième métrique rappelle le modèle actif : « Clinique seul (4) » ou « Multimodal — clinique + EEG + ECG (139) ».</w:t>
      </w:r>
    </w:p>
    <w:p>
      <w:pPr>
        <w:pStyle w:val="ListBullet"/>
      </w:pPr>
      <w:r>
        <w:t>Le bouton « Initialiser cette cohorte » génère le jeu de données s'il manque, puis l'insère en base.</w:t>
      </w:r>
    </w:p>
    <w:p>
      <w:pPr>
        <w:spacing w:before="80" w:after="160"/>
      </w:pPr>
      <w:r>
        <w:rPr>
          <w:b/>
          <w:color w:val="B45309"/>
        </w:rPr>
        <w:t xml:space="preserve">Note : </w:t>
      </w:r>
      <w:r>
        <w:t>Ce bouton ne concerne que la cohorte simulée. La cohorte réelle se charge en ligne de commande (voir le Guide d'installation, étape 8).</w:t>
      </w:r>
    </w:p>
    <w:p>
      <w:pPr>
        <w:pStyle w:val="Heading1"/>
      </w:pPr>
      <w:r>
        <w:rPr>
          <w:color w:val="1E3A8A"/>
        </w:rPr>
        <w:t>3. Page Patients</w:t>
      </w:r>
    </w:p>
    <w:p>
      <w:r>
        <w:t>Liste l'ensemble des patients de la cohorte active et permet de consulter le détail de chacun : identité, diagnostic, nombre de séances et historique clinique.</w:t>
      </w:r>
    </w:p>
    <w:p>
      <w:pPr>
        <w:jc w:val="center"/>
      </w:pPr>
      <w:r>
        <w:drawing>
          <wp:inline xmlns:a="http://schemas.openxmlformats.org/drawingml/2006/main" xmlns:pic="http://schemas.openxmlformats.org/drawingml/2006/picture">
            <wp:extent cx="5400000" cy="3471429"/>
            <wp:docPr id="2" name="Picture 2"/>
            <wp:cNvGraphicFramePr>
              <a:graphicFrameLocks noChangeAspect="1"/>
            </wp:cNvGraphicFramePr>
            <a:graphic>
              <a:graphicData uri="http://schemas.openxmlformats.org/drawingml/2006/picture">
                <pic:pic>
                  <pic:nvPicPr>
                    <pic:cNvPr id="0" name="02_patients.png"/>
                    <pic:cNvPicPr/>
                  </pic:nvPicPr>
                  <pic:blipFill>
                    <a:blip r:embed="rId10"/>
                    <a:stretch>
                      <a:fillRect/>
                    </a:stretch>
                  </pic:blipFill>
                  <pic:spPr>
                    <a:xfrm>
                      <a:off x="0" y="0"/>
                      <a:ext cx="5400000" cy="3471429"/>
                    </a:xfrm>
                    <a:prstGeom prst="rect"/>
                  </pic:spPr>
                </pic:pic>
              </a:graphicData>
            </a:graphic>
          </wp:inline>
        </w:drawing>
      </w:r>
    </w:p>
    <w:p>
      <w:pPr>
        <w:jc w:val="center"/>
      </w:pPr>
      <w:r>
        <w:rPr>
          <w:i/>
          <w:sz w:val="18"/>
        </w:rPr>
        <w:t>Figure : Liste et détail d'un patient (cohorte simulée)</w:t>
      </w:r>
    </w:p>
    <w:p>
      <w:pPr>
        <w:pStyle w:val="Heading2"/>
      </w:pPr>
      <w:r>
        <w:rPr>
          <w:color w:val="1E3A8A"/>
        </w:rPr>
        <w:t>Ce que l'on peut faire</w:t>
      </w:r>
    </w:p>
    <w:p>
      <w:pPr>
        <w:spacing w:after="80"/>
      </w:pPr>
      <w:r>
        <w:rPr>
          <w:b/>
        </w:rPr>
        <w:t xml:space="preserve">Étape 1. </w:t>
      </w:r>
      <w:r>
        <w:t>Consulter le tableau récapitulatif : identifiant, nom, âge, diagnostic, nombre de séances et dernier score enregistré.</w:t>
      </w:r>
    </w:p>
    <w:p>
      <w:pPr>
        <w:spacing w:after="80"/>
      </w:pPr>
      <w:r>
        <w:rPr>
          <w:b/>
        </w:rPr>
        <w:t xml:space="preserve">Étape 2. </w:t>
      </w:r>
      <w:r>
        <w:t>Sélectionner un patient dans la liste déroulante « Détail d'un patient » pour afficher sa fiche et son historique clinique.</w:t>
      </w:r>
    </w:p>
    <w:p>
      <w:pPr>
        <w:spacing w:after="80"/>
      </w:pPr>
      <w:r>
        <w:rPr>
          <w:b/>
        </w:rPr>
        <w:t xml:space="preserve">Étape 3. </w:t>
      </w:r>
      <w:r>
        <w:t>Ajouter une entrée au dossier (note + score) via l'encadré « Ajouter une entrée au dossier ».</w:t>
      </w:r>
    </w:p>
    <w:p>
      <w:pPr>
        <w:spacing w:after="80"/>
      </w:pPr>
      <w:r>
        <w:rPr>
          <w:b/>
        </w:rPr>
        <w:t xml:space="preserve">Étape 4. </w:t>
      </w:r>
      <w:r>
        <w:t>Créer un nouveau patient via « Créer un nouveau patient ».</w:t>
      </w:r>
    </w:p>
    <w:p>
      <w:pPr>
        <w:spacing w:before="80" w:after="160"/>
      </w:pPr>
      <w:r>
        <w:rPr>
          <w:b/>
          <w:color w:val="B45309"/>
        </w:rPr>
        <w:t xml:space="preserve">Note : </w:t>
      </w:r>
      <w:r>
        <w:t>Un patient créé manuellement n'a aucun signal EEG : il apparaîtra dans la liste mais ne pourra pas servir à une prédiction tant qu'aucune séance avec signal ne lui a été ajoutée (voir la page Boucle clinique).</w:t>
      </w:r>
    </w:p>
    <w:p>
      <w:r>
        <w:br w:type="page"/>
      </w:r>
    </w:p>
    <w:p>
      <w:pPr>
        <w:pStyle w:val="Heading1"/>
      </w:pPr>
      <w:r>
        <w:rPr>
          <w:color w:val="1E3A8A"/>
        </w:rPr>
        <w:t>4. Page Sessions</w:t>
      </w:r>
    </w:p>
    <w:p>
      <w:r>
        <w:t>Détaille une séance (ou une époque) d'un patient : son statut, les scores avant/après, les paramètres de stimulation appliqués et les signaux enregistrés.</w:t>
      </w:r>
    </w:p>
    <w:p>
      <w:pPr>
        <w:jc w:val="center"/>
      </w:pPr>
      <w:r>
        <w:drawing>
          <wp:inline xmlns:a="http://schemas.openxmlformats.org/drawingml/2006/main" xmlns:pic="http://schemas.openxmlformats.org/drawingml/2006/picture">
            <wp:extent cx="5400000" cy="3471429"/>
            <wp:docPr id="3" name="Picture 3"/>
            <wp:cNvGraphicFramePr>
              <a:graphicFrameLocks noChangeAspect="1"/>
            </wp:cNvGraphicFramePr>
            <a:graphic>
              <a:graphicData uri="http://schemas.openxmlformats.org/drawingml/2006/picture">
                <pic:pic>
                  <pic:nvPicPr>
                    <pic:cNvPr id="0" name="03_sessions.png"/>
                    <pic:cNvPicPr/>
                  </pic:nvPicPr>
                  <pic:blipFill>
                    <a:blip r:embed="rId11"/>
                    <a:stretch>
                      <a:fillRect/>
                    </a:stretch>
                  </pic:blipFill>
                  <pic:spPr>
                    <a:xfrm>
                      <a:off x="0" y="0"/>
                      <a:ext cx="5400000" cy="3471429"/>
                    </a:xfrm>
                    <a:prstGeom prst="rect"/>
                  </pic:spPr>
                </pic:pic>
              </a:graphicData>
            </a:graphic>
          </wp:inline>
        </w:drawing>
      </w:r>
    </w:p>
    <w:p>
      <w:pPr>
        <w:jc w:val="center"/>
      </w:pPr>
      <w:r>
        <w:rPr>
          <w:i/>
          <w:sz w:val="18"/>
        </w:rPr>
        <w:t>Figure : Détail d'une séance (cohorte simulée)</w:t>
      </w:r>
    </w:p>
    <w:p>
      <w:pPr>
        <w:pStyle w:val="Heading2"/>
      </w:pPr>
      <w:r>
        <w:rPr>
          <w:color w:val="1E3A8A"/>
        </w:rPr>
        <w:t>4.1 Paramètres rTMS</w:t>
      </w:r>
    </w:p>
    <w:p>
      <w:r>
        <w:t>Le bloc « Paramètres rTMS » indique la fréquence, l'intensité, la durée et le nombre de trains, la localisation et le nombre total d'impulsions.</w:t>
      </w:r>
    </w:p>
    <w:p>
      <w:pPr>
        <w:spacing w:before="80" w:after="160"/>
      </w:pPr>
      <w:r>
        <w:rPr>
          <w:b/>
          <w:color w:val="991B1B"/>
        </w:rPr>
        <w:t xml:space="preserve">Attention : </w:t>
      </w:r>
      <w:r>
        <w:t>Sur la cohorte TDBRAIN, plusieurs de ces valeurs s'affichent « — (non publié) ». Ce n'est pas un défaut de l'application : la base source publie le protocole (fréquence et site de stimulation) mais pas la dose administrée patient par patient. Ces champs sont volontairement laissés vides plutôt que remplis avec des valeurs plausibles mais inventées.</w:t>
      </w:r>
    </w:p>
    <w:p>
      <w:pPr>
        <w:pStyle w:val="Heading2"/>
      </w:pPr>
      <w:r>
        <w:rPr>
          <w:color w:val="1E3A8A"/>
        </w:rPr>
        <w:t>4.2 Signaux enregistrés</w:t>
      </w:r>
    </w:p>
    <w:p>
      <w:r>
        <w:t>La liste déroulante « Canal » donne accès à chaque signal de la séance. Sur la cohorte simulée il y a un canal EEG. Sur TDBRAIN, chaque époque contient 27 signaux : les 26 canaux du montage EEG et la dérivation ECG.</w:t>
      </w:r>
    </w:p>
    <w:p>
      <w:pPr>
        <w:jc w:val="center"/>
      </w:pPr>
      <w:r>
        <w:drawing>
          <wp:inline xmlns:a="http://schemas.openxmlformats.org/drawingml/2006/main" xmlns:pic="http://schemas.openxmlformats.org/drawingml/2006/picture">
            <wp:extent cx="5400000" cy="3471429"/>
            <wp:docPr id="4" name="Picture 4"/>
            <wp:cNvGraphicFramePr>
              <a:graphicFrameLocks noChangeAspect="1"/>
            </wp:cNvGraphicFramePr>
            <a:graphic>
              <a:graphicData uri="http://schemas.openxmlformats.org/drawingml/2006/picture">
                <pic:pic>
                  <pic:nvPicPr>
                    <pic:cNvPr id="0" name="td_03_sessions.png"/>
                    <pic:cNvPicPr/>
                  </pic:nvPicPr>
                  <pic:blipFill>
                    <a:blip r:embed="rId12"/>
                    <a:stretch>
                      <a:fillRect/>
                    </a:stretch>
                  </pic:blipFill>
                  <pic:spPr>
                    <a:xfrm>
                      <a:off x="0" y="0"/>
                      <a:ext cx="5400000" cy="3471429"/>
                    </a:xfrm>
                    <a:prstGeom prst="rect"/>
                  </pic:spPr>
                </pic:pic>
              </a:graphicData>
            </a:graphic>
          </wp:inline>
        </w:drawing>
      </w:r>
    </w:p>
    <w:p>
      <w:pPr>
        <w:jc w:val="center"/>
      </w:pPr>
      <w:r>
        <w:rPr>
          <w:i/>
          <w:sz w:val="18"/>
        </w:rPr>
        <w:t>Figure : Séance TDBRAIN : 27 signaux, paramètres de dose non publiés</w:t>
      </w:r>
    </w:p>
    <w:p>
      <w:pPr>
        <w:pStyle w:val="Heading2"/>
      </w:pPr>
      <w:r>
        <w:rPr>
          <w:color w:val="1E3A8A"/>
        </w:rPr>
        <w:t>4.3 Le signal ECG (tachogramme RR)</w:t>
      </w:r>
    </w:p>
    <w:p>
      <w:r>
        <w:t>En sélectionnant le canal « Erbs (ECG) », l'application affiche le tachogramme : la durée entre battements cardiaques successifs, en millisecondes. L'axe horizontal est le numéro de battement, et non le temps, car un rythme cardiaque n'est pas échantillonné régulièrement.</w:t>
      </w:r>
    </w:p>
    <w:p>
      <w:pPr>
        <w:jc w:val="center"/>
      </w:pPr>
      <w:r>
        <w:drawing>
          <wp:inline xmlns:a="http://schemas.openxmlformats.org/drawingml/2006/main" xmlns:pic="http://schemas.openxmlformats.org/drawingml/2006/picture">
            <wp:extent cx="5400000" cy="3471429"/>
            <wp:docPr id="5" name="Picture 5"/>
            <wp:cNvGraphicFramePr>
              <a:graphicFrameLocks noChangeAspect="1"/>
            </wp:cNvGraphicFramePr>
            <a:graphic>
              <a:graphicData uri="http://schemas.openxmlformats.org/drawingml/2006/picture">
                <pic:pic>
                  <pic:nvPicPr>
                    <pic:cNvPr id="0" name="td_03b_sessions_ecg.png"/>
                    <pic:cNvPicPr/>
                  </pic:nvPicPr>
                  <pic:blipFill>
                    <a:blip r:embed="rId13"/>
                    <a:stretch>
                      <a:fillRect/>
                    </a:stretch>
                  </pic:blipFill>
                  <pic:spPr>
                    <a:xfrm>
                      <a:off x="0" y="0"/>
                      <a:ext cx="5400000" cy="3471429"/>
                    </a:xfrm>
                    <a:prstGeom prst="rect"/>
                  </pic:spPr>
                </pic:pic>
              </a:graphicData>
            </a:graphic>
          </wp:inline>
        </w:drawing>
      </w:r>
    </w:p>
    <w:p>
      <w:pPr>
        <w:jc w:val="center"/>
      </w:pPr>
      <w:r>
        <w:rPr>
          <w:i/>
          <w:sz w:val="18"/>
        </w:rPr>
        <w:t>Figure : Tachogramme RR et métriques HRV extraites de la dérivation ECG</w:t>
      </w:r>
    </w:p>
    <w:p>
      <w:r>
        <w:t>L'encadré « Features extraits » donne les cinq métriques de variabilité cardiaque calculées : fréquence cardiaque moyenne, SDNN, RMSSD, pNN50 et rapport LF/HF. Ce sont exactement les cinq valeurs que le modèle utilise lorsque la modalité ECG est activée.</w:t>
      </w:r>
    </w:p>
    <w:p>
      <w:pPr>
        <w:spacing w:before="80" w:after="160"/>
      </w:pPr>
      <w:r>
        <w:rPr>
          <w:b/>
          <w:color w:val="B45309"/>
        </w:rPr>
        <w:t xml:space="preserve">Note : </w:t>
      </w:r>
      <w:r>
        <w:t>La variabilité cardiaque est mesurée sur l'enregistrement complet (environ 2 minutes) puis reportée à l'identique sur chaque époque : c'est une caractéristique du patient, pas une évolution dans le temps. Une époque de 8 secondes ne contient qu'une dizaine de battements, ce qui serait insuffisant pour un calcul fiable.</w:t>
      </w:r>
    </w:p>
    <w:p>
      <w:r>
        <w:br w:type="page"/>
      </w:r>
    </w:p>
    <w:p>
      <w:pPr>
        <w:pStyle w:val="Heading1"/>
      </w:pPr>
      <w:r>
        <w:rPr>
          <w:color w:val="1E3A8A"/>
        </w:rPr>
        <w:t>5. Page Training (entraînement du modèle)</w:t>
      </w:r>
    </w:p>
    <w:p>
      <w:r>
        <w:t>C'est ici que le modèle LSTM est évalué puis entraîné. La page affiche d'abord la composition de la cohorte et le nombre de features, puis propose les hyperparamètres et deux onglets.</w:t>
      </w:r>
    </w:p>
    <w:p>
      <w:pPr>
        <w:jc w:val="center"/>
      </w:pPr>
      <w:r>
        <w:drawing>
          <wp:inline xmlns:a="http://schemas.openxmlformats.org/drawingml/2006/main" xmlns:pic="http://schemas.openxmlformats.org/drawingml/2006/picture">
            <wp:extent cx="5400000" cy="3471429"/>
            <wp:docPr id="6" name="Picture 6"/>
            <wp:cNvGraphicFramePr>
              <a:graphicFrameLocks noChangeAspect="1"/>
            </wp:cNvGraphicFramePr>
            <a:graphic>
              <a:graphicData uri="http://schemas.openxmlformats.org/drawingml/2006/picture">
                <pic:pic>
                  <pic:nvPicPr>
                    <pic:cNvPr id="0" name="04_training_form.png"/>
                    <pic:cNvPicPr/>
                  </pic:nvPicPr>
                  <pic:blipFill>
                    <a:blip r:embed="rId14"/>
                    <a:stretch>
                      <a:fillRect/>
                    </a:stretch>
                  </pic:blipFill>
                  <pic:spPr>
                    <a:xfrm>
                      <a:off x="0" y="0"/>
                      <a:ext cx="5400000" cy="3471429"/>
                    </a:xfrm>
                    <a:prstGeom prst="rect"/>
                  </pic:spPr>
                </pic:pic>
              </a:graphicData>
            </a:graphic>
          </wp:inline>
        </w:drawing>
      </w:r>
    </w:p>
    <w:p>
      <w:pPr>
        <w:jc w:val="center"/>
      </w:pPr>
      <w:r>
        <w:rPr>
          <w:i/>
          <w:sz w:val="18"/>
        </w:rPr>
        <w:t>Figure : Hyperparamètres et onglets (cohorte simulée)</w:t>
      </w:r>
    </w:p>
    <w:p>
      <w:pPr>
        <w:pStyle w:val="Heading2"/>
      </w:pPr>
      <w:r>
        <w:rPr>
          <w:color w:val="1E3A8A"/>
        </w:rPr>
        <w:t>5.1 Onglet « Validation croisée »</w:t>
      </w:r>
    </w:p>
    <w:p>
      <w:r>
        <w:t>Mesure la performance du modèle sans l'enregistrer. La validation est toujours effectuée patient par patient (GroupKFold) : les séances d'un même patient ne sont jamais réparties entre l'entraînement et le test, ce qui évite de surestimer la performance.</w:t>
      </w:r>
    </w:p>
    <w:p>
      <w:pPr>
        <w:jc w:val="center"/>
      </w:pPr>
      <w:r>
        <w:drawing>
          <wp:inline xmlns:a="http://schemas.openxmlformats.org/drawingml/2006/main" xmlns:pic="http://schemas.openxmlformats.org/drawingml/2006/picture">
            <wp:extent cx="5400000" cy="3471429"/>
            <wp:docPr id="7" name="Picture 7"/>
            <wp:cNvGraphicFramePr>
              <a:graphicFrameLocks noChangeAspect="1"/>
            </wp:cNvGraphicFramePr>
            <a:graphic>
              <a:graphicData uri="http://schemas.openxmlformats.org/drawingml/2006/picture">
                <pic:pic>
                  <pic:nvPicPr>
                    <pic:cNvPr id="0" name="04_training.png"/>
                    <pic:cNvPicPr/>
                  </pic:nvPicPr>
                  <pic:blipFill>
                    <a:blip r:embed="rId15"/>
                    <a:stretch>
                      <a:fillRect/>
                    </a:stretch>
                  </pic:blipFill>
                  <pic:spPr>
                    <a:xfrm>
                      <a:off x="0" y="0"/>
                      <a:ext cx="5400000" cy="3471429"/>
                    </a:xfrm>
                    <a:prstGeom prst="rect"/>
                  </pic:spPr>
                </pic:pic>
              </a:graphicData>
            </a:graphic>
          </wp:inline>
        </w:drawing>
      </w:r>
    </w:p>
    <w:p>
      <w:pPr>
        <w:jc w:val="center"/>
      </w:pPr>
      <w:r>
        <w:rPr>
          <w:i/>
          <w:sz w:val="18"/>
        </w:rPr>
        <w:t>Figure : Résultats de validation croisée (cohorte simulée)</w:t>
      </w:r>
    </w:p>
    <w:p>
      <w:r>
        <w:t>Trois indicateurs sont affichés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Indicateur</w:t>
            </w:r>
          </w:p>
        </w:tc>
        <w:tc>
          <w:tcPr>
            <w:tcW w:type="dxa" w:w="4320"/>
          </w:tcPr>
          <w:p>
            <w:r/>
            <w:r>
              <w:rPr>
                <w:b/>
                <w:sz w:val="18"/>
              </w:rPr>
              <w:t>Lecture</w:t>
            </w:r>
          </w:p>
        </w:tc>
      </w:tr>
      <w:tr>
        <w:tc>
          <w:tcPr>
            <w:tcW w:type="dxa" w:w="4320"/>
          </w:tcPr>
          <w:p>
            <w:r/>
            <w:r>
              <w:rPr>
                <w:sz w:val="18"/>
              </w:rPr>
              <w:t>Accuracy</w:t>
            </w:r>
          </w:p>
        </w:tc>
        <w:tc>
          <w:tcPr>
            <w:tcW w:type="dxa" w:w="4320"/>
          </w:tcPr>
          <w:p>
            <w:r/>
            <w:r>
              <w:rPr>
                <w:sz w:val="18"/>
              </w:rPr>
              <w:t>Proportion de patients correctement classés</w:t>
            </w:r>
          </w:p>
        </w:tc>
      </w:tr>
      <w:tr>
        <w:tc>
          <w:tcPr>
            <w:tcW w:type="dxa" w:w="4320"/>
          </w:tcPr>
          <w:p>
            <w:r/>
            <w:r>
              <w:rPr>
                <w:sz w:val="18"/>
              </w:rPr>
              <w:t>AUC</w:t>
            </w:r>
          </w:p>
        </w:tc>
        <w:tc>
          <w:tcPr>
            <w:tcW w:type="dxa" w:w="4320"/>
          </w:tcPr>
          <w:p>
            <w:r/>
            <w:r>
              <w:rPr>
                <w:sz w:val="18"/>
              </w:rPr>
              <w:t>Capacité à séparer répondeurs et non-répondeurs ; 50 % = hasard</w:t>
            </w:r>
          </w:p>
        </w:tc>
      </w:tr>
      <w:tr>
        <w:tc>
          <w:tcPr>
            <w:tcW w:type="dxa" w:w="4320"/>
          </w:tcPr>
          <w:p>
            <w:r/>
            <w:r>
              <w:rPr>
                <w:sz w:val="18"/>
              </w:rPr>
              <w:t>F1</w:t>
            </w:r>
          </w:p>
        </w:tc>
        <w:tc>
          <w:tcPr>
            <w:tcW w:type="dxa" w:w="4320"/>
          </w:tcPr>
          <w:p>
            <w:r/>
            <w:r>
              <w:rPr>
                <w:sz w:val="18"/>
              </w:rPr>
              <w:t>Compromis entre précision et rappel sur la classe répondeur</w:t>
            </w:r>
          </w:p>
        </w:tc>
      </w:tr>
    </w:tbl>
    <w:p/>
    <w:p>
      <w:pPr>
        <w:pStyle w:val="Heading2"/>
      </w:pPr>
      <w:r>
        <w:rPr>
          <w:color w:val="1E3A8A"/>
        </w:rPr>
        <w:t>5.2 Onglet « Modèle final »</w:t>
      </w:r>
    </w:p>
    <w:p>
      <w:r>
        <w:t>Entraîne le modèle sur l'ensemble des patients et l'enregistre sur disque. C'est cette étape qui rend les pages Predictions, Suivi et Boucle clinique utilisables.</w:t>
      </w:r>
    </w:p>
    <w:p>
      <w:pPr>
        <w:pStyle w:val="Heading2"/>
      </w:pPr>
      <w:r>
        <w:rPr>
          <w:color w:val="1E3A8A"/>
        </w:rPr>
        <w:t>5.3 Options propres à la cohorte réelle</w:t>
      </w:r>
    </w:p>
    <w:p>
      <w:r>
        <w:t>Sous TDBRAIN, deux cases apparaissent dans la barre latérale : la normalisation z-score intra-patient, et l'ajout de la modalité ECG (HRV). Le compteur « Features » passe de 130 à 135 lorsque l'ECG est activé.</w:t>
      </w:r>
    </w:p>
    <w:p>
      <w:pPr>
        <w:jc w:val="center"/>
      </w:pPr>
      <w:r>
        <w:drawing>
          <wp:inline xmlns:a="http://schemas.openxmlformats.org/drawingml/2006/main" xmlns:pic="http://schemas.openxmlformats.org/drawingml/2006/picture">
            <wp:extent cx="5400000" cy="3471429"/>
            <wp:docPr id="8" name="Picture 8"/>
            <wp:cNvGraphicFramePr>
              <a:graphicFrameLocks noChangeAspect="1"/>
            </wp:cNvGraphicFramePr>
            <a:graphic>
              <a:graphicData uri="http://schemas.openxmlformats.org/drawingml/2006/picture">
                <pic:pic>
                  <pic:nvPicPr>
                    <pic:cNvPr id="0" name="td_04_training.png"/>
                    <pic:cNvPicPr/>
                  </pic:nvPicPr>
                  <pic:blipFill>
                    <a:blip r:embed="rId16"/>
                    <a:stretch>
                      <a:fillRect/>
                    </a:stretch>
                  </pic:blipFill>
                  <pic:spPr>
                    <a:xfrm>
                      <a:off x="0" y="0"/>
                      <a:ext cx="5400000" cy="3471429"/>
                    </a:xfrm>
                    <a:prstGeom prst="rect"/>
                  </pic:spPr>
                </pic:pic>
              </a:graphicData>
            </a:graphic>
          </wp:inline>
        </w:drawing>
      </w:r>
    </w:p>
    <w:p>
      <w:pPr>
        <w:jc w:val="center"/>
      </w:pPr>
      <w:r>
        <w:rPr>
          <w:i/>
          <w:sz w:val="18"/>
        </w:rPr>
        <w:t>Figure : Training sur TDBRAIN : 132 patients, 135 features (EEG + HRV)</w:t>
      </w:r>
    </w:p>
    <w:p>
      <w:r>
        <w:br w:type="page"/>
      </w:r>
    </w:p>
    <w:p>
      <w:pPr>
        <w:pStyle w:val="Heading1"/>
      </w:pPr>
      <w:r>
        <w:rPr>
          <w:color w:val="1E3A8A"/>
        </w:rPr>
        <w:t>6. Page Predictions</w:t>
      </w:r>
    </w:p>
    <w:p>
      <w:r>
        <w:t>Applique le modèle entraîné à un patient et affiche la probabilité qu'il réponde au traitement.</w:t>
      </w:r>
    </w:p>
    <w:p>
      <w:pPr>
        <w:jc w:val="center"/>
      </w:pPr>
      <w:r>
        <w:drawing>
          <wp:inline xmlns:a="http://schemas.openxmlformats.org/drawingml/2006/main" xmlns:pic="http://schemas.openxmlformats.org/drawingml/2006/picture">
            <wp:extent cx="5400000" cy="3471429"/>
            <wp:docPr id="9" name="Picture 9"/>
            <wp:cNvGraphicFramePr>
              <a:graphicFrameLocks noChangeAspect="1"/>
            </wp:cNvGraphicFramePr>
            <a:graphic>
              <a:graphicData uri="http://schemas.openxmlformats.org/drawingml/2006/picture">
                <pic:pic>
                  <pic:nvPicPr>
                    <pic:cNvPr id="0" name="05_predictions.png"/>
                    <pic:cNvPicPr/>
                  </pic:nvPicPr>
                  <pic:blipFill>
                    <a:blip r:embed="rId17"/>
                    <a:stretch>
                      <a:fillRect/>
                    </a:stretch>
                  </pic:blipFill>
                  <pic:spPr>
                    <a:xfrm>
                      <a:off x="0" y="0"/>
                      <a:ext cx="5400000" cy="3471429"/>
                    </a:xfrm>
                    <a:prstGeom prst="rect"/>
                  </pic:spPr>
                </pic:pic>
              </a:graphicData>
            </a:graphic>
          </wp:inline>
        </w:drawing>
      </w:r>
    </w:p>
    <w:p>
      <w:pPr>
        <w:jc w:val="center"/>
      </w:pPr>
      <w:r>
        <w:rPr>
          <w:i/>
          <w:sz w:val="18"/>
        </w:rPr>
        <w:t>Figure : Prédiction pour un patient (cohorte simulée)</w:t>
      </w:r>
    </w:p>
    <w:p>
      <w:pPr>
        <w:pStyle w:val="Heading2"/>
      </w:pPr>
      <w:r>
        <w:rPr>
          <w:color w:val="1E3A8A"/>
        </w:rPr>
        <w:t>Lecture de l'écran</w:t>
      </w:r>
    </w:p>
    <w:p>
      <w:pPr>
        <w:pStyle w:val="ListBullet"/>
      </w:pPr>
      <w:r>
        <w:t>« Probabilité de réponse » : sortie du modèle, entre 0 et 100 %.</w:t>
      </w:r>
    </w:p>
    <w:p>
      <w:pPr>
        <w:pStyle w:val="ListBullet"/>
      </w:pPr>
      <w:r>
        <w:t>« Classe prédite » : répondeur au-dessus de 50 %, non-répondeur en dessous.</w:t>
      </w:r>
    </w:p>
    <w:p>
      <w:pPr>
        <w:pStyle w:val="ListBullet"/>
      </w:pPr>
      <w:r>
        <w:t>« Indice thérapeutique (TRI) » : la probabilité recalculée après chaque séance, à mesure que le modèle accumule de l'information.</w:t>
      </w:r>
    </w:p>
    <w:p>
      <w:pPr>
        <w:pStyle w:val="ListBullet"/>
      </w:pPr>
      <w:r>
        <w:t>« Comparaison au score clinique observé » : confronte la prédiction à la réduction BDI-II réellement mesurée (concordance vraie ou fausse).</w:t>
      </w:r>
    </w:p>
    <w:p>
      <w:r>
        <w:t>Les deux boutons du bas permettent d'enregistrer la prédiction en base et de télécharger un rapport PDF.</w:t>
      </w:r>
    </w:p>
    <w:p>
      <w:pPr>
        <w:jc w:val="center"/>
      </w:pPr>
      <w:r>
        <w:drawing>
          <wp:inline xmlns:a="http://schemas.openxmlformats.org/drawingml/2006/main" xmlns:pic="http://schemas.openxmlformats.org/drawingml/2006/picture">
            <wp:extent cx="5400000" cy="3471429"/>
            <wp:docPr id="10" name="Picture 10"/>
            <wp:cNvGraphicFramePr>
              <a:graphicFrameLocks noChangeAspect="1"/>
            </wp:cNvGraphicFramePr>
            <a:graphic>
              <a:graphicData uri="http://schemas.openxmlformats.org/drawingml/2006/picture">
                <pic:pic>
                  <pic:nvPicPr>
                    <pic:cNvPr id="0" name="td_05_predictions.png"/>
                    <pic:cNvPicPr/>
                  </pic:nvPicPr>
                  <pic:blipFill>
                    <a:blip r:embed="rId18"/>
                    <a:stretch>
                      <a:fillRect/>
                    </a:stretch>
                  </pic:blipFill>
                  <pic:spPr>
                    <a:xfrm>
                      <a:off x="0" y="0"/>
                      <a:ext cx="5400000" cy="3471429"/>
                    </a:xfrm>
                    <a:prstGeom prst="rect"/>
                  </pic:spPr>
                </pic:pic>
              </a:graphicData>
            </a:graphic>
          </wp:inline>
        </w:drawing>
      </w:r>
    </w:p>
    <w:p>
      <w:pPr>
        <w:jc w:val="center"/>
      </w:pPr>
      <w:r>
        <w:rPr>
          <w:i/>
          <w:sz w:val="18"/>
        </w:rPr>
        <w:t>Figure : Prédiction sur un patient réel TDBRAIN</w:t>
      </w:r>
    </w:p>
    <w:p>
      <w:pPr>
        <w:spacing w:before="80" w:after="160"/>
      </w:pPr>
      <w:r>
        <w:rPr>
          <w:b/>
          <w:color w:val="B45309"/>
        </w:rPr>
        <w:t xml:space="preserve">Note : </w:t>
      </w:r>
      <w:r>
        <w:t>Sur TDBRAIN, la courbe TRI porte sur des époques d'un même enregistrement : elle montre l'accumulation de preuve du modèle sur le signal, et non une amélioration clinique au fil du traitement. L'application le rappelle sous le graphique.</w:t>
      </w:r>
    </w:p>
    <w:p>
      <w:r>
        <w:br w:type="page"/>
      </w:r>
    </w:p>
    <w:p>
      <w:pPr>
        <w:pStyle w:val="Heading1"/>
      </w:pPr>
      <w:r>
        <w:rPr>
          <w:color w:val="1E3A8A"/>
        </w:rPr>
        <w:t>7. Page Suivi</w:t>
      </w:r>
    </w:p>
    <w:p>
      <w:r>
        <w:t>Contrairement à la page Predictions, qui produit un résultat unique, la page Suivi synthétise l'ensemble des séances d'un patient : trajectoire clinique, trajectoire du modèle, et cohérence entre les deux.</w:t>
      </w:r>
    </w:p>
    <w:p>
      <w:pPr>
        <w:jc w:val="center"/>
      </w:pPr>
      <w:r>
        <w:drawing>
          <wp:inline xmlns:a="http://schemas.openxmlformats.org/drawingml/2006/main" xmlns:pic="http://schemas.openxmlformats.org/drawingml/2006/picture">
            <wp:extent cx="5400000" cy="3471429"/>
            <wp:docPr id="11" name="Picture 11"/>
            <wp:cNvGraphicFramePr>
              <a:graphicFrameLocks noChangeAspect="1"/>
            </wp:cNvGraphicFramePr>
            <a:graphic>
              <a:graphicData uri="http://schemas.openxmlformats.org/drawingml/2006/picture">
                <pic:pic>
                  <pic:nvPicPr>
                    <pic:cNvPr id="0" name="06_suivi.png"/>
                    <pic:cNvPicPr/>
                  </pic:nvPicPr>
                  <pic:blipFill>
                    <a:blip r:embed="rId19"/>
                    <a:stretch>
                      <a:fillRect/>
                    </a:stretch>
                  </pic:blipFill>
                  <pic:spPr>
                    <a:xfrm>
                      <a:off x="0" y="0"/>
                      <a:ext cx="5400000" cy="3471429"/>
                    </a:xfrm>
                    <a:prstGeom prst="rect"/>
                  </pic:spPr>
                </pic:pic>
              </a:graphicData>
            </a:graphic>
          </wp:inline>
        </w:drawing>
      </w:r>
    </w:p>
    <w:p>
      <w:pPr>
        <w:jc w:val="center"/>
      </w:pPr>
      <w:r>
        <w:rPr>
          <w:i/>
          <w:sz w:val="18"/>
        </w:rPr>
        <w:t>Figure : Suivi d'un patient sur ses 10 séances (cohorte simulée)</w:t>
      </w:r>
    </w:p>
    <w:p>
      <w:pPr>
        <w:pStyle w:val="Heading2"/>
      </w:pPr>
      <w:r>
        <w:rPr>
          <w:color w:val="1E3A8A"/>
        </w:rPr>
        <w:t>7.1 Trajectoire clinique</w:t>
      </w:r>
    </w:p>
    <w:p>
      <w:r>
        <w:t>Le premier graphique trace le score BDI-II séance après séance. Deux repères l'accompagnent : le score de départ (pointillés gris) et le seuil de réponse à −50 % (pointillés verts). Une pente est estimée et qualifiée d'amélioration, stable ou aggravation.</w:t>
      </w:r>
    </w:p>
    <w:p>
      <w:pPr>
        <w:pStyle w:val="Heading2"/>
      </w:pPr>
      <w:r>
        <w:rPr>
          <w:color w:val="1E3A8A"/>
        </w:rPr>
        <w:t>7.2 Trajectoire du modèle</w:t>
      </w:r>
    </w:p>
    <w:p>
      <w:r>
        <w:t>Le second graphique trace l'indice TRI. Trois indicateurs le résument : TRI final, TRI moyen et écart-type entre séances. Un écart-type élevé signale une prédiction instable, à interpréter avec prudence.</w:t>
      </w:r>
    </w:p>
    <w:p>
      <w:pPr>
        <w:pStyle w:val="Heading2"/>
      </w:pPr>
      <w:r>
        <w:rPr>
          <w:color w:val="1E3A8A"/>
        </w:rPr>
        <w:t>7.3 Retour de synthèse</w:t>
      </w:r>
    </w:p>
    <w:p>
      <w:r>
        <w:t>En bas de page, l'application produit un commentaire en langage clair : tendance observée, réduction totale, stabilité du modèle et concordance avec l'issue réelle. Un tableau détaille ensuite chaque séance.</w:t>
      </w:r>
    </w:p>
    <w:p>
      <w:pPr>
        <w:jc w:val="center"/>
      </w:pPr>
      <w:r>
        <w:drawing>
          <wp:inline xmlns:a="http://schemas.openxmlformats.org/drawingml/2006/main" xmlns:pic="http://schemas.openxmlformats.org/drawingml/2006/picture">
            <wp:extent cx="5400000" cy="3471429"/>
            <wp:docPr id="12" name="Picture 12"/>
            <wp:cNvGraphicFramePr>
              <a:graphicFrameLocks noChangeAspect="1"/>
            </wp:cNvGraphicFramePr>
            <a:graphic>
              <a:graphicData uri="http://schemas.openxmlformats.org/drawingml/2006/picture">
                <pic:pic>
                  <pic:nvPicPr>
                    <pic:cNvPr id="0" name="td_06_suivi.png"/>
                    <pic:cNvPicPr/>
                  </pic:nvPicPr>
                  <pic:blipFill>
                    <a:blip r:embed="rId20"/>
                    <a:stretch>
                      <a:fillRect/>
                    </a:stretch>
                  </pic:blipFill>
                  <pic:spPr>
                    <a:xfrm>
                      <a:off x="0" y="0"/>
                      <a:ext cx="5400000" cy="3471429"/>
                    </a:xfrm>
                    <a:prstGeom prst="rect"/>
                  </pic:spPr>
                </pic:pic>
              </a:graphicData>
            </a:graphic>
          </wp:inline>
        </w:drawing>
      </w:r>
    </w:p>
    <w:p>
      <w:pPr>
        <w:jc w:val="center"/>
      </w:pPr>
      <w:r>
        <w:rPr>
          <w:i/>
          <w:sz w:val="18"/>
        </w:rPr>
        <w:t>Figure : Suivi d'un patient TDBRAIN</w:t>
      </w:r>
    </w:p>
    <w:p>
      <w:pPr>
        <w:spacing w:before="80" w:after="160"/>
      </w:pPr>
      <w:r>
        <w:rPr>
          <w:b/>
          <w:color w:val="991B1B"/>
        </w:rPr>
        <w:t xml:space="preserve">Attention : </w:t>
      </w:r>
      <w:r>
        <w:t>Sur TDBRAIN, un bandeau indique « Pas de trajectoire clinique ». C'est attendu : les époques portent toutes le même score BDI-II, puisqu'il n'existe qu'un seul enregistrement avant traitement. L'application refuse alors de calculer une tendance, et présente l'écart-type du TRI comme une mesure de cohérence entre fenêtres, non comme un progrès.</w:t>
      </w:r>
    </w:p>
    <w:p>
      <w:r>
        <w:br w:type="page"/>
      </w:r>
    </w:p>
    <w:p>
      <w:pPr>
        <w:pStyle w:val="Heading1"/>
      </w:pPr>
      <w:r>
        <w:rPr>
          <w:color w:val="1E3A8A"/>
        </w:rPr>
        <w:t>8. Page Boucle clinique</w:t>
      </w:r>
    </w:p>
    <w:p>
      <w:r>
        <w:t>Cette page met en œuvre le scénario d'usage visé : enregistrer une séance, obtenir une prédiction, ajuster le stimulateur, puis recommencer — jusqu'à obtenir un résultat satisfaisant.</w:t>
      </w:r>
    </w:p>
    <w:p>
      <w:r>
        <w:t>Le cycle se déroule ainsi :</w:t>
      </w:r>
    </w:p>
    <w:p>
      <w:pPr>
        <w:spacing w:after="80"/>
      </w:pPr>
      <w:r>
        <w:rPr>
          <w:b/>
        </w:rPr>
        <w:t xml:space="preserve">Étape 1. </w:t>
      </w:r>
      <w:r>
        <w:t>Enregistrer la séance : paramètres appliqués sur la machine, signal EEG et score clinique.</w:t>
      </w:r>
    </w:p>
    <w:p>
      <w:pPr>
        <w:spacing w:after="80"/>
      </w:pPr>
      <w:r>
        <w:rPr>
          <w:b/>
        </w:rPr>
        <w:t xml:space="preserve">Étape 2. </w:t>
      </w:r>
      <w:r>
        <w:t>L'application recalcule la prédiction et l'ajoute au journal.</w:t>
      </w:r>
    </w:p>
    <w:p>
      <w:pPr>
        <w:spacing w:after="80"/>
      </w:pPr>
      <w:r>
        <w:rPr>
          <w:b/>
        </w:rPr>
        <w:t xml:space="preserve">Étape 3. </w:t>
      </w:r>
      <w:r>
        <w:t>Le réglage du stimulateur est modifié sur l'appareil — cette opération se fait hors application.</w:t>
      </w:r>
    </w:p>
    <w:p>
      <w:pPr>
        <w:spacing w:after="80"/>
      </w:pPr>
      <w:r>
        <w:rPr>
          <w:b/>
        </w:rPr>
        <w:t xml:space="preserve">Étape 4. </w:t>
      </w:r>
      <w:r>
        <w:t>La séance suivante est enregistrée, et ainsi de suite.</w:t>
      </w:r>
    </w:p>
    <w:p>
      <w:pPr>
        <w:jc w:val="center"/>
      </w:pPr>
      <w:r>
        <w:drawing>
          <wp:inline xmlns:a="http://schemas.openxmlformats.org/drawingml/2006/main" xmlns:pic="http://schemas.openxmlformats.org/drawingml/2006/picture">
            <wp:extent cx="5400000" cy="3471429"/>
            <wp:docPr id="13" name="Picture 13"/>
            <wp:cNvGraphicFramePr>
              <a:graphicFrameLocks noChangeAspect="1"/>
            </wp:cNvGraphicFramePr>
            <a:graphic>
              <a:graphicData uri="http://schemas.openxmlformats.org/drawingml/2006/picture">
                <pic:pic>
                  <pic:nvPicPr>
                    <pic:cNvPr id="0" name="07_boucle.png"/>
                    <pic:cNvPicPr/>
                  </pic:nvPicPr>
                  <pic:blipFill>
                    <a:blip r:embed="rId21"/>
                    <a:stretch>
                      <a:fillRect/>
                    </a:stretch>
                  </pic:blipFill>
                  <pic:spPr>
                    <a:xfrm>
                      <a:off x="0" y="0"/>
                      <a:ext cx="5400000" cy="3471429"/>
                    </a:xfrm>
                    <a:prstGeom prst="rect"/>
                  </pic:spPr>
                </pic:pic>
              </a:graphicData>
            </a:graphic>
          </wp:inline>
        </w:drawing>
      </w:r>
    </w:p>
    <w:p>
      <w:pPr>
        <w:jc w:val="center"/>
      </w:pPr>
      <w:r>
        <w:rPr>
          <w:i/>
          <w:sz w:val="18"/>
        </w:rPr>
        <w:t>Figure : Boucle clinique, cohorte simulée</w:t>
      </w:r>
    </w:p>
    <w:p>
      <w:pPr>
        <w:pStyle w:val="Heading2"/>
      </w:pPr>
      <w:r>
        <w:rPr>
          <w:color w:val="1E3A8A"/>
        </w:rPr>
        <w:t>8.1 Enregistrer une séance</w:t>
      </w:r>
    </w:p>
    <w:p>
      <w:r>
        <w:t>Le formulaire est pré-rempli avec les paramètres de la séance précédente : il suffit de modifier ce qui a changé sur le stimulateur. Le signal peut être téléversé (fichier) ou généré à des fins de démonstration lorsqu'aucun matériel n'est connecté.</w:t>
      </w:r>
    </w:p>
    <w:p>
      <w:pPr>
        <w:spacing w:before="80" w:after="160"/>
      </w:pPr>
      <w:r>
        <w:rPr>
          <w:b/>
          <w:color w:val="B45309"/>
        </w:rPr>
        <w:t xml:space="preserve">Note : </w:t>
      </w:r>
      <w:r>
        <w:t>L'option « Générer (démonstration) » produit un signal synthétique. Elle sert uniquement à dérouler le cycle sans amplificateur ; elle ne constitue en aucun cas une donnée clinique.</w:t>
      </w:r>
    </w:p>
    <w:p>
      <w:pPr>
        <w:pStyle w:val="Heading2"/>
      </w:pPr>
      <w:r>
        <w:rPr>
          <w:color w:val="1E3A8A"/>
        </w:rPr>
        <w:t>8.2 Deux modes selon la cohorte</w:t>
      </w:r>
    </w:p>
    <w:p>
      <w:r>
        <w:t>Les deux cohortes acceptent la boucle, mais accumulent l'information différemment, car les deux modèles n'ont pas été entraînés sur le même axe.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Données simulées</w:t>
            </w:r>
          </w:p>
        </w:tc>
        <w:tc>
          <w:tcPr>
            <w:tcW w:type="dxa" w:w="2880"/>
          </w:tcPr>
          <w:p>
            <w:r/>
            <w:r>
              <w:rPr>
                <w:b/>
                <w:sz w:val="18"/>
              </w:rPr>
              <w:t>TDBRAIN</w:t>
            </w:r>
          </w:p>
        </w:tc>
      </w:tr>
      <w:tr>
        <w:tc>
          <w:tcPr>
            <w:tcW w:type="dxa" w:w="2880"/>
          </w:tcPr>
          <w:p>
            <w:r/>
            <w:r>
              <w:rPr>
                <w:sz w:val="18"/>
              </w:rPr>
              <w:t>Mode</w:t>
            </w:r>
          </w:p>
        </w:tc>
        <w:tc>
          <w:tcPr>
            <w:tcW w:type="dxa" w:w="2880"/>
          </w:tcPr>
          <w:p>
            <w:r/>
            <w:r>
              <w:rPr>
                <w:sz w:val="18"/>
              </w:rPr>
              <w:t>Séquentiel</w:t>
            </w:r>
          </w:p>
        </w:tc>
        <w:tc>
          <w:tcPr>
            <w:tcW w:type="dxa" w:w="2880"/>
          </w:tcPr>
          <w:p>
            <w:r/>
            <w:r>
              <w:rPr>
                <w:sz w:val="18"/>
              </w:rPr>
              <w:t>Instantané</w:t>
            </w:r>
          </w:p>
        </w:tc>
      </w:tr>
      <w:tr>
        <w:tc>
          <w:tcPr>
            <w:tcW w:type="dxa" w:w="2880"/>
          </w:tcPr>
          <w:p>
            <w:r/>
            <w:r>
              <w:rPr>
                <w:sz w:val="18"/>
              </w:rPr>
              <w:t>Entrée du modèle</w:t>
            </w:r>
          </w:p>
        </w:tc>
        <w:tc>
          <w:tcPr>
            <w:tcW w:type="dxa" w:w="2880"/>
          </w:tcPr>
          <w:p>
            <w:r/>
            <w:r>
              <w:rPr>
                <w:sz w:val="18"/>
              </w:rPr>
              <w:t>La suite des séances</w:t>
            </w:r>
          </w:p>
        </w:tc>
        <w:tc>
          <w:tcPr>
            <w:tcW w:type="dxa" w:w="2880"/>
          </w:tcPr>
          <w:p>
            <w:r/>
            <w:r>
              <w:rPr>
                <w:sz w:val="18"/>
              </w:rPr>
              <w:t>L'enregistrement de la séance seule</w:t>
            </w:r>
          </w:p>
        </w:tc>
      </w:tr>
      <w:tr>
        <w:tc>
          <w:tcPr>
            <w:tcW w:type="dxa" w:w="2880"/>
          </w:tcPr>
          <w:p>
            <w:r/>
            <w:r>
              <w:rPr>
                <w:sz w:val="18"/>
              </w:rPr>
              <w:t>Accumulation</w:t>
            </w:r>
          </w:p>
        </w:tc>
        <w:tc>
          <w:tcPr>
            <w:tcW w:type="dxa" w:w="2880"/>
          </w:tcPr>
          <w:p>
            <w:r/>
            <w:r>
              <w:rPr>
                <w:sz w:val="18"/>
              </w:rPr>
              <w:t>À l'intérieur du LSTM</w:t>
            </w:r>
          </w:p>
        </w:tc>
        <w:tc>
          <w:tcPr>
            <w:tcW w:type="dxa" w:w="2880"/>
          </w:tcPr>
          <w:p>
            <w:r/>
            <w:r>
              <w:rPr>
                <w:sz w:val="18"/>
              </w:rPr>
              <w:t>Au niveau clinique (tendance)</w:t>
            </w:r>
          </w:p>
        </w:tc>
      </w:tr>
      <w:tr>
        <w:tc>
          <w:tcPr>
            <w:tcW w:type="dxa" w:w="2880"/>
          </w:tcPr>
          <w:p>
            <w:r/>
            <w:r>
              <w:rPr>
                <w:sz w:val="18"/>
              </w:rPr>
              <w:t>Fichier attendu</w:t>
            </w:r>
          </w:p>
        </w:tc>
        <w:tc>
          <w:tcPr>
            <w:tcW w:type="dxa" w:w="2880"/>
          </w:tcPr>
          <w:p>
            <w:r/>
            <w:r>
              <w:rPr>
                <w:sz w:val="18"/>
              </w:rPr>
              <w:t>CSV ou NPY, un canal</w:t>
            </w:r>
          </w:p>
        </w:tc>
        <w:tc>
          <w:tcPr>
            <w:tcW w:type="dxa" w:w="2880"/>
          </w:tcPr>
          <w:p>
            <w:r/>
            <w:r>
              <w:rPr>
                <w:sz w:val="18"/>
              </w:rPr>
              <w:t>BDF ou CSV, 26 canaux + ECG</w:t>
            </w:r>
          </w:p>
        </w:tc>
      </w:tr>
    </w:tbl>
    <w:p/>
    <w:p>
      <w:r>
        <w:t>En mode instantané, chaque séance exige un nouvel enregistrement de repos d'au moins 64 secondes. Le fichier subit exactement le même prétraitement que les données d'entraînement, ce qui garantit que le modèle reçoit des valeurs comparables à celles qu'il a apprises.</w:t>
      </w:r>
    </w:p>
    <w:p>
      <w:pPr>
        <w:jc w:val="center"/>
      </w:pPr>
      <w:r>
        <w:drawing>
          <wp:inline xmlns:a="http://schemas.openxmlformats.org/drawingml/2006/main" xmlns:pic="http://schemas.openxmlformats.org/drawingml/2006/picture">
            <wp:extent cx="5400000" cy="3471429"/>
            <wp:docPr id="14" name="Picture 14"/>
            <wp:cNvGraphicFramePr>
              <a:graphicFrameLocks noChangeAspect="1"/>
            </wp:cNvGraphicFramePr>
            <a:graphic>
              <a:graphicData uri="http://schemas.openxmlformats.org/drawingml/2006/picture">
                <pic:pic>
                  <pic:nvPicPr>
                    <pic:cNvPr id="0" name="td_07_boucle.png"/>
                    <pic:cNvPicPr/>
                  </pic:nvPicPr>
                  <pic:blipFill>
                    <a:blip r:embed="rId22"/>
                    <a:stretch>
                      <a:fillRect/>
                    </a:stretch>
                  </pic:blipFill>
                  <pic:spPr>
                    <a:xfrm>
                      <a:off x="0" y="0"/>
                      <a:ext cx="5400000" cy="3471429"/>
                    </a:xfrm>
                    <a:prstGeom prst="rect"/>
                  </pic:spPr>
                </pic:pic>
              </a:graphicData>
            </a:graphic>
          </wp:inline>
        </w:drawing>
      </w:r>
    </w:p>
    <w:p>
      <w:pPr>
        <w:jc w:val="center"/>
      </w:pPr>
      <w:r>
        <w:rPr>
          <w:i/>
          <w:sz w:val="18"/>
        </w:rPr>
        <w:t>Figure : Boucle clinique en mode instantané (TDBRAIN)</w:t>
      </w:r>
    </w:p>
    <w:p>
      <w:pPr>
        <w:pStyle w:val="Heading2"/>
      </w:pPr>
      <w:r>
        <w:rPr>
          <w:color w:val="1E3A8A"/>
        </w:rPr>
        <w:t>8.3 Journal et recommandation</w:t>
      </w:r>
    </w:p>
    <w:p>
      <w:r>
        <w:t>Le graphique retrace l'évolution de la prédiction. Le journal associe à chaque séance les paramètres utilisés, la probabilité obtenue, l'écart avec la séance précédente et les réglages modifiés — ce qui permet de voir quel ajustement a produit quel effet.</w:t>
      </w:r>
    </w:p>
    <w:p>
      <w:r>
        <w:t>La recommandation indique la direction observée : conserver les paramètres, revenir aux précédents, ou constater un plateau.</w:t>
      </w:r>
    </w:p>
    <w:p>
      <w:pPr>
        <w:spacing w:before="80" w:after="160"/>
      </w:pPr>
      <w:r>
        <w:rPr>
          <w:b/>
          <w:color w:val="991B1B"/>
        </w:rPr>
        <w:t xml:space="preserve">Attention : </w:t>
      </w:r>
      <w:r>
        <w:t>La recommandation ne propose jamais un réglage chiffré. Aucune donnée de ce projet ne relie une intensité de stimulation à la réponse — la base TDBRAIN ne publie même pas la dose administrée. Le choix des paramètres reste une décision clinique.</w:t>
      </w:r>
    </w:p>
    <w:p>
      <w:r>
        <w:br w:type="page"/>
      </w:r>
    </w:p>
    <w:p>
      <w:pPr>
        <w:pStyle w:val="Heading1"/>
      </w:pPr>
      <w:r>
        <w:rPr>
          <w:color w:val="1E3A8A"/>
        </w:rPr>
        <w:t>9. Page Comparaison</w:t>
      </w:r>
    </w:p>
    <w:p>
      <w:r>
        <w:t>Cette page met les quatre modèles côte à côte : deux cohortes (simulée appariée, TDBRAIN réelle) croisées avec deux jeux de variables (clinique seul, clinique + EEG + ECG). C'est le résultat central du projet, et la page ne recalcule rien : elle lit le fichier produit par l'entraînement, donc les chiffres affichés sont exactement ceux qui ont été mesurés.</w:t>
      </w:r>
    </w:p>
    <w:p>
      <w:pPr>
        <w:jc w:val="center"/>
      </w:pPr>
      <w:r>
        <w:drawing>
          <wp:inline xmlns:a="http://schemas.openxmlformats.org/drawingml/2006/main" xmlns:pic="http://schemas.openxmlformats.org/drawingml/2006/picture">
            <wp:extent cx="5400000" cy="3471429"/>
            <wp:docPr id="15" name="Picture 15"/>
            <wp:cNvGraphicFramePr>
              <a:graphicFrameLocks noChangeAspect="1"/>
            </wp:cNvGraphicFramePr>
            <a:graphic>
              <a:graphicData uri="http://schemas.openxmlformats.org/drawingml/2006/picture">
                <pic:pic>
                  <pic:nvPicPr>
                    <pic:cNvPr id="0" name="08_comparaison.png"/>
                    <pic:cNvPicPr/>
                  </pic:nvPicPr>
                  <pic:blipFill>
                    <a:blip r:embed="rId23"/>
                    <a:stretch>
                      <a:fillRect/>
                    </a:stretch>
                  </pic:blipFill>
                  <pic:spPr>
                    <a:xfrm>
                      <a:off x="0" y="0"/>
                      <a:ext cx="5400000" cy="3471429"/>
                    </a:xfrm>
                    <a:prstGeom prst="rect"/>
                  </pic:spPr>
                </pic:pic>
              </a:graphicData>
            </a:graphic>
          </wp:inline>
        </w:drawing>
      </w:r>
    </w:p>
    <w:p>
      <w:pPr>
        <w:jc w:val="center"/>
      </w:pPr>
      <w:r>
        <w:rPr>
          <w:i/>
          <w:sz w:val="18"/>
        </w:rPr>
        <w:t>Figure : Les quatre modèles côte à côte</w:t>
      </w:r>
    </w:p>
    <w:p>
      <w:pPr>
        <w:pStyle w:val="Heading2"/>
      </w:pPr>
      <w:r>
        <w:rPr>
          <w:color w:val="1E3A8A"/>
        </w:rPr>
        <w:t>9.1 Comment lire les deux graphiques</w:t>
      </w:r>
    </w:p>
    <w:p>
      <w:pPr>
        <w:pStyle w:val="ListBullet"/>
      </w:pPr>
      <w:r>
        <w:t>Le premier montre l'AUC de chaque modèle avec l'écart-type entre les plis. La ligne pointillée est le hasard (0,5).</w:t>
      </w:r>
    </w:p>
    <w:p>
      <w:pPr>
        <w:pStyle w:val="ListBullet"/>
      </w:pPr>
      <w:r>
        <w:t>Le second compare l'exactitude au taux de la classe majoritaire. C'est le graphique qui compte : une exactitude égale à ce taux signifie que le modèle prédit toujours la même classe.</w:t>
      </w:r>
    </w:p>
    <w:p>
      <w:pPr>
        <w:pStyle w:val="Heading2"/>
      </w:pPr>
      <w:r>
        <w:rPr>
          <w:color w:val="1E3A8A"/>
        </w:rPr>
        <w:t>9.2 Ce que la page conclut</w:t>
      </w:r>
    </w:p>
    <w:p>
      <w:pPr>
        <w:pStyle w:val="ListBullet"/>
      </w:pPr>
      <w:r>
        <w:t>Aucune variante ne dépasse son taux de base. Le modèle répond « répondeur » pour presque tous les patients.</w:t>
      </w:r>
    </w:p>
    <w:p>
      <w:pPr>
        <w:pStyle w:val="ListBullet"/>
      </w:pPr>
      <w:r>
        <w:t>Le modèle clinique (4 variables) fait aussi bien, voire mieux, que le multimodal (139) : ajouter des colonnes non informatives dilue les quelques-unes qui le sont, sur seulement 132 patients.</w:t>
      </w:r>
    </w:p>
    <w:p>
      <w:pPr>
        <w:pStyle w:val="ListBullet"/>
      </w:pPr>
      <w:r>
        <w:t>Les écarts entre variantes sont de l'ordre de l'écart-type entre plis : les classer par AUC reviendrait à commenter du bruit.</w:t>
      </w:r>
    </w:p>
    <w:p>
      <w:pPr>
        <w:spacing w:before="80" w:after="160"/>
      </w:pPr>
      <w:r>
        <w:rPr>
          <w:b/>
          <w:color w:val="B45309"/>
        </w:rPr>
        <w:t xml:space="preserve">Note : </w:t>
      </w:r>
      <w:r>
        <w:t>Un avertissement s'affiche automatiquement lorsque aucune variante ne dépasse son taux de base. Il n'est pas décoratif : c'est le résultat, et il est négatif. La démonstration porte sur la chaîne de traitement complète, pas sur une performance clinique.</w:t>
      </w:r>
    </w:p>
    <w:p>
      <w:r>
        <w:br w:type="page"/>
      </w:r>
    </w:p>
    <w:p>
      <w:pPr>
        <w:pStyle w:val="Heading1"/>
      </w:pPr>
      <w:r>
        <w:rPr>
          <w:color w:val="1E3A8A"/>
        </w:rPr>
        <w:t>10. Particularités de la cohorte réelle</w:t>
      </w:r>
    </w:p>
    <w:p>
      <w:pPr>
        <w:jc w:val="center"/>
      </w:pPr>
      <w:r>
        <w:drawing>
          <wp:inline xmlns:a="http://schemas.openxmlformats.org/drawingml/2006/main" xmlns:pic="http://schemas.openxmlformats.org/drawingml/2006/picture">
            <wp:extent cx="5400000" cy="3471429"/>
            <wp:docPr id="16" name="Picture 16"/>
            <wp:cNvGraphicFramePr>
              <a:graphicFrameLocks noChangeAspect="1"/>
            </wp:cNvGraphicFramePr>
            <a:graphic>
              <a:graphicData uri="http://schemas.openxmlformats.org/drawingml/2006/picture">
                <pic:pic>
                  <pic:nvPicPr>
                    <pic:cNvPr id="0" name="td_01_home.png"/>
                    <pic:cNvPicPr/>
                  </pic:nvPicPr>
                  <pic:blipFill>
                    <a:blip r:embed="rId24"/>
                    <a:stretch>
                      <a:fillRect/>
                    </a:stretch>
                  </pic:blipFill>
                  <pic:spPr>
                    <a:xfrm>
                      <a:off x="0" y="0"/>
                      <a:ext cx="5400000" cy="3471429"/>
                    </a:xfrm>
                    <a:prstGeom prst="rect"/>
                  </pic:spPr>
                </pic:pic>
              </a:graphicData>
            </a:graphic>
          </wp:inline>
        </w:drawing>
      </w:r>
    </w:p>
    <w:p>
      <w:pPr>
        <w:jc w:val="center"/>
      </w:pPr>
      <w:r>
        <w:rPr>
          <w:i/>
          <w:sz w:val="18"/>
        </w:rPr>
        <w:t>Figure : Accueil avec la cohorte TDBRAIN sélectionnée</w:t>
      </w:r>
    </w:p>
    <w:p>
      <w:pPr>
        <w:pStyle w:val="Heading2"/>
      </w:pPr>
      <w:r>
        <w:rPr>
          <w:color w:val="1E3A8A"/>
        </w:rPr>
        <w:t>10.1 Ce qui est réel, ce qui ne l'est pas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Statut</w:t>
            </w:r>
          </w:p>
        </w:tc>
      </w:tr>
      <w:tr>
        <w:tc>
          <w:tcPr>
            <w:tcW w:type="dxa" w:w="4320"/>
          </w:tcPr>
          <w:p>
            <w:r/>
            <w:r>
              <w:rPr>
                <w:sz w:val="18"/>
              </w:rPr>
              <w:t>EEG 26 canaux, dérivation ECG</w:t>
            </w:r>
          </w:p>
        </w:tc>
        <w:tc>
          <w:tcPr>
            <w:tcW w:type="dxa" w:w="4320"/>
          </w:tcPr>
          <w:p>
            <w:r/>
            <w:r>
              <w:rPr>
                <w:sz w:val="18"/>
              </w:rPr>
              <w:t>Réel (mesuré)</w:t>
            </w:r>
          </w:p>
        </w:tc>
      </w:tr>
      <w:tr>
        <w:tc>
          <w:tcPr>
            <w:tcW w:type="dxa" w:w="4320"/>
          </w:tcPr>
          <w:p>
            <w:r/>
            <w:r>
              <w:rPr>
                <w:sz w:val="18"/>
              </w:rPr>
              <w:t>Scores BDI-II avant / après</w:t>
            </w:r>
          </w:p>
        </w:tc>
        <w:tc>
          <w:tcPr>
            <w:tcW w:type="dxa" w:w="4320"/>
          </w:tcPr>
          <w:p>
            <w:r/>
            <w:r>
              <w:rPr>
                <w:sz w:val="18"/>
              </w:rPr>
              <w:t>Réels</w:t>
            </w:r>
          </w:p>
        </w:tc>
      </w:tr>
      <w:tr>
        <w:tc>
          <w:tcPr>
            <w:tcW w:type="dxa" w:w="4320"/>
          </w:tcPr>
          <w:p>
            <w:r/>
            <w:r>
              <w:rPr>
                <w:sz w:val="18"/>
              </w:rPr>
              <w:t>Étiquette répondeur</w:t>
            </w:r>
          </w:p>
        </w:tc>
        <w:tc>
          <w:tcPr>
            <w:tcW w:type="dxa" w:w="4320"/>
          </w:tcPr>
          <w:p>
            <w:r/>
            <w:r>
              <w:rPr>
                <w:sz w:val="18"/>
              </w:rPr>
              <w:t>Réelle (réduction ≥ 50 %)</w:t>
            </w:r>
          </w:p>
        </w:tc>
      </w:tr>
      <w:tr>
        <w:tc>
          <w:tcPr>
            <w:tcW w:type="dxa" w:w="4320"/>
          </w:tcPr>
          <w:p>
            <w:r/>
            <w:r>
              <w:rPr>
                <w:sz w:val="18"/>
              </w:rPr>
              <w:t>Âge, sexe</w:t>
            </w:r>
          </w:p>
        </w:tc>
        <w:tc>
          <w:tcPr>
            <w:tcW w:type="dxa" w:w="4320"/>
          </w:tcPr>
          <w:p>
            <w:r/>
            <w:r>
              <w:rPr>
                <w:sz w:val="18"/>
              </w:rPr>
              <w:t>Réels</w:t>
            </w:r>
          </w:p>
        </w:tc>
      </w:tr>
      <w:tr>
        <w:tc>
          <w:tcPr>
            <w:tcW w:type="dxa" w:w="4320"/>
          </w:tcPr>
          <w:p>
            <w:r/>
            <w:r>
              <w:rPr>
                <w:sz w:val="18"/>
              </w:rPr>
              <w:t>Protocole rTMS (fréquence, site)</w:t>
            </w:r>
          </w:p>
        </w:tc>
        <w:tc>
          <w:tcPr>
            <w:tcW w:type="dxa" w:w="4320"/>
          </w:tcPr>
          <w:p>
            <w:r/>
            <w:r>
              <w:rPr>
                <w:sz w:val="18"/>
              </w:rPr>
              <w:t>Réel</w:t>
            </w:r>
          </w:p>
        </w:tc>
      </w:tr>
      <w:tr>
        <w:tc>
          <w:tcPr>
            <w:tcW w:type="dxa" w:w="4320"/>
          </w:tcPr>
          <w:p>
            <w:r/>
            <w:r>
              <w:rPr>
                <w:sz w:val="18"/>
              </w:rPr>
              <w:t>Intensité, trains, intervalle</w:t>
            </w:r>
          </w:p>
        </w:tc>
        <w:tc>
          <w:tcPr>
            <w:tcW w:type="dxa" w:w="4320"/>
          </w:tcPr>
          <w:p>
            <w:r/>
            <w:r>
              <w:rPr>
                <w:sz w:val="18"/>
              </w:rPr>
              <w:t>Non publiés — affichés « — »</w:t>
            </w:r>
          </w:p>
        </w:tc>
      </w:tr>
      <w:tr>
        <w:tc>
          <w:tcPr>
            <w:tcW w:type="dxa" w:w="4320"/>
          </w:tcPr>
          <w:p>
            <w:r/>
            <w:r>
              <w:rPr>
                <w:sz w:val="18"/>
              </w:rPr>
              <w:t>« Époques »</w:t>
            </w:r>
          </w:p>
        </w:tc>
        <w:tc>
          <w:tcPr>
            <w:tcW w:type="dxa" w:w="4320"/>
          </w:tcPr>
          <w:p>
            <w:r/>
            <w:r>
              <w:rPr>
                <w:sz w:val="18"/>
              </w:rPr>
              <w:t>Fenêtres d'un enregistrement unique, pas des séances</w:t>
            </w:r>
          </w:p>
        </w:tc>
      </w:tr>
    </w:tbl>
    <w:p/>
    <w:p>
      <w:pPr>
        <w:pStyle w:val="Heading2"/>
      </w:pPr>
      <w:r>
        <w:rPr>
          <w:color w:val="1E3A8A"/>
        </w:rPr>
        <w:t>10.2 Le résultat obtenu, et comment le présenter</w:t>
      </w:r>
    </w:p>
    <w:p>
      <w:r>
        <w:t>Sur la cohorte réelle, la prédiction de la réponse au rTMS se situe au niveau du hasard : l'AUC mesurée se situe entre 0,47 et 0,52 selon les variantes, et l'exactitude reste égale au taux de base de la cohorte. L'ajout de la modalité ECG ne change pas cette conclusion.</w:t>
      </w:r>
    </w:p>
    <w:p>
      <w:r>
        <w:t>Ce résultat n'est pas un défaut de l'application. Il s'explique par la nature des données : un unique enregistrement de repos réalisé avant traitement ne contient pas, à lui seul, l'information nécessaire pour anticiper la réponse. C'est un résultat négatif honnête, cohérent avec la littérature, et il doit être présenté comme tel plutôt que masqué.</w:t>
      </w:r>
    </w:p>
    <w:p>
      <w:pPr>
        <w:spacing w:before="80" w:after="160"/>
      </w:pPr>
      <w:r>
        <w:rPr>
          <w:b/>
          <w:color w:val="B45309"/>
        </w:rPr>
        <w:t xml:space="preserve">Note : </w:t>
      </w:r>
      <w:r>
        <w:t>À titre de comparaison, la même chaîne de traitement appliquée à une tâche différente — distinguer patients dépressifs et sujets sains — atteint une AUC nettement supérieure. Le problème vient donc bien de la tâche visée, non de la chaîne de traitement.</w:t>
      </w:r>
    </w:p>
    <w:p>
      <w:pPr>
        <w:pStyle w:val="Heading1"/>
      </w:pPr>
      <w:r>
        <w:rPr>
          <w:color w:val="1E3A8A"/>
        </w:rPr>
        <w:t>11. Parcours conseillé pour une démonstration</w:t>
      </w:r>
    </w:p>
    <w:p>
      <w:pPr>
        <w:spacing w:after="80"/>
      </w:pPr>
      <w:r>
        <w:rPr>
          <w:b/>
        </w:rPr>
        <w:t xml:space="preserve">Étape 1. </w:t>
      </w:r>
      <w:r>
        <w:t>Accueil : vérifier la source sélectionnée et l'état de la base.</w:t>
      </w:r>
    </w:p>
    <w:p>
      <w:pPr>
        <w:spacing w:after="80"/>
      </w:pPr>
      <w:r>
        <w:rPr>
          <w:b/>
        </w:rPr>
        <w:t xml:space="preserve">Étape 2. </w:t>
      </w:r>
      <w:r>
        <w:t>Patients : ouvrir un patient, montrer son historique clinique.</w:t>
      </w:r>
    </w:p>
    <w:p>
      <w:pPr>
        <w:spacing w:after="80"/>
      </w:pPr>
      <w:r>
        <w:rPr>
          <w:b/>
        </w:rPr>
        <w:t xml:space="preserve">Étape 3. </w:t>
      </w:r>
      <w:r>
        <w:t>Sessions : montrer les paramètres rTMS, un canal EEG, puis — sur TDBRAIN — le tachogramme RR et les métriques HRV.</w:t>
      </w:r>
    </w:p>
    <w:p>
      <w:pPr>
        <w:spacing w:after="80"/>
      </w:pPr>
      <w:r>
        <w:rPr>
          <w:b/>
        </w:rPr>
        <w:t xml:space="preserve">Étape 4. </w:t>
      </w:r>
      <w:r>
        <w:t>Training : lancer une validation croisée et commenter les trois indicateurs.</w:t>
      </w:r>
    </w:p>
    <w:p>
      <w:pPr>
        <w:spacing w:after="80"/>
      </w:pPr>
      <w:r>
        <w:rPr>
          <w:b/>
        </w:rPr>
        <w:t xml:space="preserve">Étape 5. </w:t>
      </w:r>
      <w:r>
        <w:t>Predictions : produire une prédiction et la confronter à l'issue réelle du patient.</w:t>
      </w:r>
    </w:p>
    <w:p>
      <w:pPr>
        <w:spacing w:after="80"/>
      </w:pPr>
      <w:r>
        <w:rPr>
          <w:b/>
        </w:rPr>
        <w:t xml:space="preserve">Étape 6. </w:t>
      </w:r>
      <w:r>
        <w:t>Suivi : montrer la synthèse sur l'ensemble des séances.</w:t>
      </w:r>
    </w:p>
    <w:p>
      <w:pPr>
        <w:spacing w:after="80"/>
      </w:pPr>
      <w:r>
        <w:rPr>
          <w:b/>
        </w:rPr>
        <w:t xml:space="preserve">Étape 7. </w:t>
      </w:r>
      <w:r>
        <w:t>Boucle clinique : enregistrer une séance et montrer la prédiction se mettre à jour.</w:t>
      </w:r>
    </w:p>
    <w:p>
      <w:r>
        <w:t>Basculer entre les deux cohortes au moment de l'étape 3 met en évidence la différence de nature des données, qui est le point clé du projet.</w:t>
      </w:r>
    </w:p>
    <w:p>
      <w:pPr>
        <w:pStyle w:val="Heading1"/>
      </w:pPr>
      <w:r>
        <w:rPr>
          <w:color w:val="1E3A8A"/>
        </w:rPr>
        <w:t>12. Messages fréquents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Message affiché</w:t>
            </w:r>
          </w:p>
        </w:tc>
        <w:tc>
          <w:tcPr>
            <w:tcW w:type="dxa" w:w="2880"/>
          </w:tcPr>
          <w:p>
            <w:r/>
            <w:r>
              <w:rPr>
                <w:b/>
                <w:sz w:val="18"/>
              </w:rPr>
              <w:t>Signification</w:t>
            </w:r>
          </w:p>
        </w:tc>
        <w:tc>
          <w:tcPr>
            <w:tcW w:type="dxa" w:w="2880"/>
          </w:tcPr>
          <w:p>
            <w:r/>
            <w:r>
              <w:rPr>
                <w:b/>
                <w:sz w:val="18"/>
              </w:rPr>
              <w:t>Que faire</w:t>
            </w:r>
          </w:p>
        </w:tc>
      </w:tr>
      <w:tr>
        <w:tc>
          <w:tcPr>
            <w:tcW w:type="dxa" w:w="2880"/>
          </w:tcPr>
          <w:p>
            <w:r/>
            <w:r>
              <w:rPr>
                <w:sz w:val="18"/>
              </w:rPr>
              <w:t>Aucun patient en base</w:t>
            </w:r>
          </w:p>
        </w:tc>
        <w:tc>
          <w:tcPr>
            <w:tcW w:type="dxa" w:w="2880"/>
          </w:tcPr>
          <w:p>
            <w:r/>
            <w:r>
              <w:rPr>
                <w:sz w:val="18"/>
              </w:rPr>
              <w:t>La cohorte n'a pas été chargée</w:t>
            </w:r>
          </w:p>
        </w:tc>
        <w:tc>
          <w:tcPr>
            <w:tcW w:type="dxa" w:w="2880"/>
          </w:tcPr>
          <w:p>
            <w:r/>
            <w:r>
              <w:rPr>
                <w:sz w:val="18"/>
              </w:rPr>
              <w:t>Accueil : « Initialiser avec les données simulées »</w:t>
            </w:r>
          </w:p>
        </w:tc>
      </w:tr>
      <w:tr>
        <w:tc>
          <w:tcPr>
            <w:tcW w:type="dxa" w:w="2880"/>
          </w:tcPr>
          <w:p>
            <w:r/>
            <w:r>
              <w:rPr>
                <w:sz w:val="18"/>
              </w:rPr>
              <w:t>Aucun modèle entraîné pour cette source</w:t>
            </w:r>
          </w:p>
        </w:tc>
        <w:tc>
          <w:tcPr>
            <w:tcW w:type="dxa" w:w="2880"/>
          </w:tcPr>
          <w:p>
            <w:r/>
            <w:r>
              <w:rPr>
                <w:sz w:val="18"/>
              </w:rPr>
              <w:t>Aucun modèle n'existe encore</w:t>
            </w:r>
          </w:p>
        </w:tc>
        <w:tc>
          <w:tcPr>
            <w:tcW w:type="dxa" w:w="2880"/>
          </w:tcPr>
          <w:p>
            <w:r/>
            <w:r>
              <w:rPr>
                <w:sz w:val="18"/>
              </w:rPr>
              <w:t>Page Training, onglet « Modèle final »</w:t>
            </w:r>
          </w:p>
        </w:tc>
      </w:tr>
      <w:tr>
        <w:tc>
          <w:tcPr>
            <w:tcW w:type="dxa" w:w="2880"/>
          </w:tcPr>
          <w:p>
            <w:r/>
            <w:r>
              <w:rPr>
                <w:sz w:val="18"/>
              </w:rPr>
              <w:t>Les données en base ne correspondent pas au modèle</w:t>
            </w:r>
          </w:p>
        </w:tc>
        <w:tc>
          <w:tcPr>
            <w:tcW w:type="dxa" w:w="2880"/>
          </w:tcPr>
          <w:p>
            <w:r/>
            <w:r>
              <w:rPr>
                <w:sz w:val="18"/>
              </w:rPr>
              <w:t>Base et modèle TDBRAIN désynchronisés</w:t>
            </w:r>
          </w:p>
        </w:tc>
        <w:tc>
          <w:tcPr>
            <w:tcW w:type="dxa" w:w="2880"/>
          </w:tcPr>
          <w:p>
            <w:r/>
            <w:r>
              <w:rPr>
                <w:sz w:val="18"/>
              </w:rPr>
              <w:t>Recharger la cohorte et réentraîner (Guide d'installation, étape 8)</w:t>
            </w:r>
          </w:p>
        </w:tc>
      </w:tr>
      <w:tr>
        <w:tc>
          <w:tcPr>
            <w:tcW w:type="dxa" w:w="2880"/>
          </w:tcPr>
          <w:p>
            <w:r/>
            <w:r>
              <w:rPr>
                <w:sz w:val="18"/>
              </w:rPr>
              <w:t>Pas de trajectoire clinique</w:t>
            </w:r>
          </w:p>
        </w:tc>
        <w:tc>
          <w:tcPr>
            <w:tcW w:type="dxa" w:w="2880"/>
          </w:tcPr>
          <w:p>
            <w:r/>
            <w:r>
              <w:rPr>
                <w:sz w:val="18"/>
              </w:rPr>
              <w:t>Comportement normal sur TDBRAIN</w:t>
            </w:r>
          </w:p>
        </w:tc>
        <w:tc>
          <w:tcPr>
            <w:tcW w:type="dxa" w:w="2880"/>
          </w:tcPr>
          <w:p>
            <w:r/>
            <w:r>
              <w:rPr>
                <w:sz w:val="18"/>
              </w:rPr>
              <w:t>Aucune action : il n'existe qu'un enregistrement avant traitement</w:t>
            </w:r>
          </w:p>
        </w:tc>
      </w:tr>
      <w:tr>
        <w:tc>
          <w:tcPr>
            <w:tcW w:type="dxa" w:w="2880"/>
          </w:tcPr>
          <w:p>
            <w:r/>
            <w:r>
              <w:rPr>
                <w:sz w:val="18"/>
              </w:rPr>
              <w:t>— (non publié)</w:t>
            </w:r>
          </w:p>
        </w:tc>
        <w:tc>
          <w:tcPr>
            <w:tcW w:type="dxa" w:w="2880"/>
          </w:tcPr>
          <w:p>
            <w:r/>
            <w:r>
              <w:rPr>
                <w:sz w:val="18"/>
              </w:rPr>
              <w:t>Donnée absente de la base source</w:t>
            </w:r>
          </w:p>
        </w:tc>
        <w:tc>
          <w:tcPr>
            <w:tcW w:type="dxa" w:w="2880"/>
          </w:tcPr>
          <w:p>
            <w:r/>
            <w:r>
              <w:rPr>
                <w:sz w:val="18"/>
              </w:rPr>
              <w:t>Aucune action : la valeur n'est volontairement pas inventée</w:t>
            </w:r>
          </w:p>
        </w:tc>
      </w:tr>
      <w:tr>
        <w:tc>
          <w:tcPr>
            <w:tcW w:type="dxa" w:w="2880"/>
          </w:tcPr>
          <w:p>
            <w:r/>
            <w:r>
              <w:rPr>
                <w:sz w:val="18"/>
              </w:rPr>
              <w:t>appartient à la cohorte de recherche TDBRAIN</w:t>
            </w:r>
          </w:p>
        </w:tc>
        <w:tc>
          <w:tcPr>
            <w:tcW w:type="dxa" w:w="2880"/>
          </w:tcPr>
          <w:p>
            <w:r/>
            <w:r>
              <w:rPr>
                <w:sz w:val="18"/>
              </w:rPr>
              <w:t>Ce patient n'a pas de séance de traitement</w:t>
            </w:r>
          </w:p>
        </w:tc>
        <w:tc>
          <w:tcPr>
            <w:tcW w:type="dxa" w:w="2880"/>
          </w:tcPr>
          <w:p>
            <w:r/>
            <w:r>
              <w:rPr>
                <w:sz w:val="18"/>
              </w:rPr>
              <w:t>Créer un nouveau patient pour démarrer une boucle clinique</w:t>
            </w:r>
          </w:p>
        </w:tc>
      </w:tr>
      <w:tr>
        <w:tc>
          <w:tcPr>
            <w:tcW w:type="dxa" w:w="2880"/>
          </w:tcPr>
          <w:p>
            <w:r/>
            <w:r>
              <w:rPr>
                <w:sz w:val="18"/>
              </w:rPr>
              <w:t>Enregistrement trop court</w:t>
            </w:r>
          </w:p>
        </w:tc>
        <w:tc>
          <w:tcPr>
            <w:tcW w:type="dxa" w:w="2880"/>
          </w:tcPr>
          <w:p>
            <w:r/>
            <w:r>
              <w:rPr>
                <w:sz w:val="18"/>
              </w:rPr>
              <w:t>Le fichier fourni dure moins de 64 secondes</w:t>
            </w:r>
          </w:p>
        </w:tc>
        <w:tc>
          <w:tcPr>
            <w:tcW w:type="dxa" w:w="2880"/>
          </w:tcPr>
          <w:p>
            <w:r/>
            <w:r>
              <w:rPr>
                <w:sz w:val="18"/>
              </w:rPr>
              <w:t>Fournir un enregistrement plus long</w:t>
            </w:r>
          </w:p>
        </w:tc>
      </w:tr>
    </w:tbl>
    <w:p/>
    <w:p/>
    <w:p>
      <w:r>
        <w:rPr>
          <w:i/>
          <w:sz w:val="20"/>
        </w:rPr>
        <w:t>Pour toute question d'installation ou de mise à jour des données, se reporter au « Guide d'installation ».</w:t>
      </w:r>
    </w:p>
    <w:p/>
    <w:p>
      <w:pPr>
        <w:pStyle w:val="Heading2"/>
      </w:pPr>
      <w:r>
        <w:rPr>
          <w:color w:val="1E3A8A"/>
        </w:rPr>
        <w:t>Régénérer ce document</w:t>
      </w:r>
    </w:p>
    <w:p>
      <w:pPr>
        <w:spacing w:after="40"/>
        <w:ind w:left="283"/>
      </w:pPr>
      <w:r>
        <w:rPr>
          <w:rFonts w:ascii="Consolas" w:hAnsi="Consolas"/>
          <w:color w:val="333333"/>
          <w:sz w:val="20"/>
        </w:rPr>
        <w:t>streamlit run src/app/main.py --server.headless true --server.port 8765</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p>
      <w:r>
        <w:br w:type="page"/>
      </w:r>
    </w:p>
    <w:p>
      <w:pPr>
        <w:pStyle w:val="Heading1"/>
      </w:pPr>
      <w:r>
        <w:rPr>
          <w:color w:val="1E3A8A"/>
        </w:rPr>
        <w:t>Annexe A — Cadre mathématique proposé et ce qui en a été testé</w:t>
      </w:r>
    </w:p>
    <w:p>
      <w:r>
        <w:t>Cette annexe rassemble le cadre mathématique proposé pour le projet (documents HYPO1–HYPO4 et RES0_AR1). Chaque bloc est accompagné de son statut réel : implémenté et mesuré, approché par une variable de substitution, ou non calculable sur TDBRAIN. Les équations décrivent une architecture visée ; elles ne doivent pas être lues comme des résultats expérimentaux.</w:t>
      </w:r>
    </w:p>
    <w:p>
      <w:pPr>
        <w:spacing w:before="80" w:after="160"/>
      </w:pPr>
      <w:r>
        <w:rPr>
          <w:b/>
          <w:color w:val="991B1B"/>
        </w:rPr>
        <w:t xml:space="preserve">Attention : </w:t>
      </w:r>
      <w:r>
        <w:t>Le résultat mesuré est négatif, et il figure ici en entier : aucune des familles de variables issues de ces équations n'améliore la prédiction de la réponse à la rTMS. Ce qu'elles apportent est une réfutation étayée, pas une performance.</w:t>
      </w:r>
    </w:p>
    <w:p>
      <w:pPr>
        <w:pStyle w:val="Heading2"/>
      </w:pPr>
      <w:r>
        <w:rPr>
          <w:color w:val="1E3A8A"/>
        </w:rPr>
        <w:t>A.1 État latent et observation multimodale</w:t>
      </w:r>
    </w:p>
    <w:p>
      <w:pPr>
        <w:jc w:val="center"/>
      </w:pPr>
      <w:r>
        <w:rPr>
          <w:rFonts w:ascii="Cambria Math" w:hAnsi="Cambria Math"/>
          <w:sz w:val="24"/>
        </w:rPr>
        <w:t>X(t) = [E(t), I(t), A(t), C(t)]ᵀ</w:t>
      </w:r>
    </w:p>
    <w:p>
      <w:r>
        <w:rPr>
          <w:i/>
          <w:sz w:val="19"/>
        </w:rPr>
        <w:t>État latent : activité excitatrice, inhibitrice, état autonome (ECG) et état cognitif (ERP).</w:t>
      </w:r>
    </w:p>
    <w:p>
      <w:pPr>
        <w:jc w:val="center"/>
      </w:pPr>
      <w:r>
        <w:rPr>
          <w:rFonts w:ascii="Cambria Math" w:hAnsi="Cambria Math"/>
          <w:sz w:val="24"/>
        </w:rPr>
        <w:t>Y(t) = H X(t) + ε(t)</w:t>
      </w:r>
    </w:p>
    <w:p>
      <w:r>
        <w:rPr>
          <w:i/>
          <w:sz w:val="19"/>
        </w:rPr>
        <w:t>Observation multimodale : l'EEG et l'ECG sont des mesures partielles et bruitées de l'état neurophysiologique.</w:t>
      </w:r>
    </w:p>
    <w:p>
      <w:pPr>
        <w:jc w:val="center"/>
      </w:pPr>
      <w:r>
        <w:rPr>
          <w:rFonts w:ascii="Cambria Math" w:hAnsi="Cambria Math"/>
          <w:sz w:val="24"/>
        </w:rPr>
        <w:t>dX(t) = f(X(t), U(t)) dt + Σ dW(t)</w:t>
      </w:r>
    </w:p>
    <w:p>
      <w:r>
        <w:rPr>
          <w:i/>
          <w:sz w:val="19"/>
        </w:rPr>
        <w:t>Dynamique cérébrale stochastique ; U(t) = paramètres rTMS.</w:t>
      </w:r>
    </w:p>
    <w:p>
      <w:r>
        <w:rPr>
          <w:b/>
          <w:sz w:val="20"/>
        </w:rPr>
        <w:t xml:space="preserve">Statut — </w:t>
      </w:r>
      <w:r>
        <w:rPr>
          <w:b/>
          <w:sz w:val="20"/>
        </w:rPr>
        <w:t xml:space="preserve">Partiellement implémenté. </w:t>
      </w:r>
      <w:r>
        <w:rPr>
          <w:sz w:val="20"/>
        </w:rPr>
        <w:t>A(t) existe réellement : cinq métriques de variabilité cardiaque extraites de la dérivation ECG. C(t) est **impossible** sur cette cohorte — inventaire mesuré : les 190 sujets ayant un protocole rTMS n'ont que des enregistrements de repos, et les 129 sujets avec tâche oddball sont tous des témoins sains. Aucun patient traité n'a d'ERP.</w:t>
      </w:r>
    </w:p>
    <w:p/>
    <w:p>
      <w:pPr>
        <w:pStyle w:val="Heading2"/>
      </w:pPr>
      <w:r>
        <w:rPr>
          <w:color w:val="1E3A8A"/>
        </w:rPr>
        <w:t>A.2 Wilson–Cowan : populations excitatrice et inhibitrice</w:t>
      </w:r>
    </w:p>
    <w:p>
      <w:pPr>
        <w:jc w:val="center"/>
      </w:pPr>
      <w:r>
        <w:rPr>
          <w:rFonts w:ascii="Cambria Math" w:hAnsi="Cambria Math"/>
          <w:sz w:val="24"/>
        </w:rPr>
        <w:t>dE/dt = −E/τE + S(wEE·E − wEI·I + P)</w:t>
      </w:r>
    </w:p>
    <w:p>
      <w:r>
        <w:rPr>
          <w:i/>
          <w:sz w:val="19"/>
        </w:rPr>
        <w:t>Population excitatrice.</w:t>
      </w:r>
    </w:p>
    <w:p>
      <w:pPr>
        <w:jc w:val="center"/>
      </w:pPr>
      <w:r>
        <w:rPr>
          <w:rFonts w:ascii="Cambria Math" w:hAnsi="Cambria Math"/>
          <w:sz w:val="24"/>
        </w:rPr>
        <w:t>dI/dt = −I/τI + S(wIE·E − wII·I + QI)</w:t>
      </w:r>
    </w:p>
    <w:p>
      <w:r>
        <w:rPr>
          <w:i/>
          <w:sz w:val="19"/>
        </w:rPr>
        <w:t>Population inhibitrice.</w:t>
      </w:r>
    </w:p>
    <w:p>
      <w:r>
        <w:rPr>
          <w:b/>
          <w:sz w:val="20"/>
        </w:rPr>
        <w:t xml:space="preserve">Statut — </w:t>
      </w:r>
      <w:r>
        <w:rPr>
          <w:b/>
          <w:sz w:val="20"/>
        </w:rPr>
        <w:t xml:space="preserve">Approché par une variable de substitution. </w:t>
      </w:r>
      <w:r>
        <w:rPr>
          <w:sz w:val="20"/>
        </w:rPr>
        <w:t>Ajuster les paramètres de Wilson–Cowan sur un seul enregistrement de repos est un problème d'estimation non identifiable. La pente 1/f du spectre est un marqueur reconnu du **rapport** E/I (Gao, Peterson &amp; Voytek, 2017), et c'est ce rapport qu'utilisent les équations. Elle est calculée par canal (`aperiodic_exponent`), moyenne mesurée 1,35 — valeur canonique pour un EEG.</w:t>
      </w:r>
    </w:p>
    <w:p/>
    <w:p>
      <w:pPr>
        <w:pStyle w:val="Heading2"/>
      </w:pPr>
      <w:r>
        <w:rPr>
          <w:color w:val="1E3A8A"/>
        </w:rPr>
        <w:t>A.3 Synchronisation de réseau : Kuramoto, PLV, cohérence</w:t>
      </w:r>
    </w:p>
    <w:p>
      <w:pPr>
        <w:jc w:val="center"/>
      </w:pPr>
      <w:r>
        <w:rPr>
          <w:rFonts w:ascii="Cambria Math" w:hAnsi="Cambria Math"/>
          <w:sz w:val="24"/>
        </w:rPr>
        <w:t>dθᵢ/dt = ωᵢ + Σⱼ Kᵢⱼ·sin(θⱼ − θᵢ)</w:t>
      </w:r>
    </w:p>
    <w:p>
      <w:r>
        <w:rPr>
          <w:i/>
          <w:sz w:val="19"/>
        </w:rPr>
        <w:t>Couplage de phase entre populations neuronales.</w:t>
      </w:r>
    </w:p>
    <w:p>
      <w:pPr>
        <w:jc w:val="center"/>
      </w:pPr>
      <w:r>
        <w:rPr>
          <w:rFonts w:ascii="Cambria Math" w:hAnsi="Cambria Math"/>
          <w:sz w:val="24"/>
        </w:rPr>
        <w:t>R(t) = |(1/N)·Σⱼ exp(i·θⱼ(t))|</w:t>
      </w:r>
    </w:p>
    <w:p>
      <w:r>
        <w:rPr>
          <w:i/>
          <w:sz w:val="19"/>
        </w:rPr>
        <w:t>Paramètre d'ordre de Kuramoto : synchronisation globale. Son écart-type temporel mesure la métastabilité.</w:t>
      </w:r>
    </w:p>
    <w:p>
      <w:pPr>
        <w:jc w:val="center"/>
      </w:pPr>
      <w:r>
        <w:rPr>
          <w:rFonts w:ascii="Cambria Math" w:hAnsi="Cambria Math"/>
          <w:sz w:val="24"/>
        </w:rPr>
        <w:t>PLV = |(1/N)·Σₖ exp(i·Δφₖ)|</w:t>
      </w:r>
    </w:p>
    <w:p>
      <w:r>
        <w:rPr>
          <w:i/>
          <w:sz w:val="19"/>
        </w:rPr>
        <w:t>Verrouillage de phase entre deux canaux.</w:t>
      </w:r>
    </w:p>
    <w:p>
      <w:pPr>
        <w:jc w:val="center"/>
      </w:pPr>
      <w:r>
        <w:rPr>
          <w:rFonts w:ascii="Cambria Math" w:hAnsi="Cambria Math"/>
          <w:sz w:val="24"/>
        </w:rPr>
        <w:t>Cxy(f) = |Pxy(f)|² / (Pxx(f)·Pyy(f))</w:t>
      </w:r>
    </w:p>
    <w:p>
      <w:r>
        <w:rPr>
          <w:i/>
          <w:sz w:val="19"/>
        </w:rPr>
        <w:t>Cohérence spectrale.</w:t>
      </w:r>
    </w:p>
    <w:p>
      <w:r>
        <w:rPr>
          <w:b/>
          <w:sz w:val="20"/>
        </w:rPr>
        <w:t xml:space="preserve">Statut — </w:t>
      </w:r>
      <w:r>
        <w:rPr>
          <w:b/>
          <w:sz w:val="20"/>
        </w:rPr>
        <w:t xml:space="preserve">Implémenté et mesuré — c'est l'apport principal. </w:t>
      </w:r>
      <w:r>
        <w:rPr>
          <w:sz w:val="20"/>
        </w:rPr>
        <w:t>Ces trois familles sont ce que l'étude de référence ne calcule pas : une puissance de bande est aveugle à la phase, donc aucune quantité de puissances ne peut exprimer un couplage. Le bloc « synchronisation » (30 variables : PLV moyen, PLV frontal, PLV interhémisphérique, cohérence, ordre de Kuramoto et métastabilité, sur cinq bandes) est calculé pour chaque époque de chaque patient.</w:t>
      </w:r>
    </w:p>
    <w:p/>
    <w:p>
      <w:pPr>
        <w:pStyle w:val="Heading2"/>
      </w:pPr>
      <w:r>
        <w:rPr>
          <w:color w:val="1E3A8A"/>
        </w:rPr>
        <w:t>A.4 Couche électromagnétique (Biot–Savart, Maxwell–Faraday)</w:t>
      </w:r>
    </w:p>
    <w:p>
      <w:pPr>
        <w:jc w:val="center"/>
      </w:pPr>
      <w:r>
        <w:rPr>
          <w:rFonts w:ascii="Cambria Math" w:hAnsi="Cambria Math"/>
          <w:sz w:val="24"/>
        </w:rPr>
        <w:t>B(r,t) = (μ₀/4π)·∮ I(t)·[dℓ × (r − r′)] / |r − r′|³</w:t>
      </w:r>
    </w:p>
    <w:p>
      <w:r>
        <w:rPr>
          <w:i/>
          <w:sz w:val="19"/>
        </w:rPr>
        <w:t>Champ magnétique de la bobine rTMS.</w:t>
      </w:r>
    </w:p>
    <w:p>
      <w:pPr>
        <w:jc w:val="center"/>
      </w:pPr>
      <w:r>
        <w:rPr>
          <w:rFonts w:ascii="Cambria Math" w:hAnsi="Cambria Math"/>
          <w:sz w:val="24"/>
        </w:rPr>
        <w:t>∇ × E(r,t) = − ∂B(r,t)/∂t</w:t>
      </w:r>
    </w:p>
    <w:p>
      <w:r>
        <w:rPr>
          <w:i/>
          <w:sz w:val="19"/>
        </w:rPr>
        <w:t>Champ électrique cortical induit.</w:t>
      </w:r>
    </w:p>
    <w:p>
      <w:pPr>
        <w:jc w:val="center"/>
      </w:pPr>
      <w:r>
        <w:rPr>
          <w:rFonts w:ascii="Cambria Math" w:hAnsi="Cambria Math"/>
          <w:sz w:val="24"/>
        </w:rPr>
        <w:t>J(r,t) = σ(r)·E(r,t)</w:t>
      </w:r>
    </w:p>
    <w:p>
      <w:r>
        <w:rPr>
          <w:i/>
          <w:sz w:val="19"/>
        </w:rPr>
        <w:t>Densité de courant dans les tissus.</w:t>
      </w:r>
    </w:p>
    <w:p>
      <w:r>
        <w:rPr>
          <w:b/>
          <w:sz w:val="20"/>
        </w:rPr>
        <w:t xml:space="preserve">Statut — </w:t>
      </w:r>
      <w:r>
        <w:rPr>
          <w:b/>
          <w:sz w:val="20"/>
        </w:rPr>
        <w:t xml:space="preserve">Non calculable, et démontré comme tel. </w:t>
      </w:r>
      <w:r>
        <w:rPr>
          <w:sz w:val="20"/>
        </w:rPr>
        <w:t>TDBRAIN ne publie ni l'intensité du stimulateur, ni la géométrie de la bobine, ni de conductivité tissulaire (aucune IRM). Toute grandeur dérivable se réduit donc à une fonction du numéro de protocole, qui ne prend que deux valeurs. Vérification par le rang de la matrice : ajouter trois colonnes physiques à [1 | protocole] laisse le rang à 2. Le « modèle E » du protocole HYPO4 n'est pas seulement non implémenté, il est vide sur cette cohorte.</w:t>
      </w:r>
    </w:p>
    <w:p/>
    <w:p>
      <w:pPr>
        <w:pStyle w:val="Heading2"/>
      </w:pPr>
      <w:r>
        <w:rPr>
          <w:color w:val="1E3A8A"/>
        </w:rPr>
        <w:t>A.5 Estimation d'état (Kalman) et contrôle optimal (MPC)</w:t>
      </w:r>
    </w:p>
    <w:p>
      <w:pPr>
        <w:jc w:val="center"/>
      </w:pPr>
      <w:r>
        <w:rPr>
          <w:rFonts w:ascii="Cambria Math" w:hAnsi="Cambria Math"/>
          <w:sz w:val="24"/>
        </w:rPr>
        <w:t>X̂ₜ|ₜ = X̂ₜ|ₜ₋₁ + Kₜ·(Yₜ − H·X̂ₜ|ₜ₋₁)</w:t>
      </w:r>
    </w:p>
    <w:p>
      <w:r>
        <w:rPr>
          <w:i/>
          <w:sz w:val="19"/>
        </w:rPr>
        <w:t>Correction de l'état estimé par l'innovation EEG/ECG.</w:t>
      </w:r>
    </w:p>
    <w:p>
      <w:pPr>
        <w:jc w:val="center"/>
      </w:pPr>
      <w:r>
        <w:rPr>
          <w:rFonts w:ascii="Cambria Math" w:hAnsi="Cambria Math"/>
          <w:sz w:val="24"/>
        </w:rPr>
        <w:t>U* = arg min_U E[∫₀ᵀ (‖Xₜ − X_cible‖² + λ‖Uₜ‖²) dt]</w:t>
      </w:r>
    </w:p>
    <w:p>
      <w:r>
        <w:rPr>
          <w:i/>
          <w:sz w:val="19"/>
        </w:rPr>
        <w:t>Commande rTMS optimale : précision thérapeutique contre énergie de stimulation.</w:t>
      </w:r>
    </w:p>
    <w:p>
      <w:r>
        <w:rPr>
          <w:b/>
          <w:sz w:val="20"/>
        </w:rPr>
        <w:t xml:space="preserve">Statut — </w:t>
      </w:r>
      <w:r>
        <w:rPr>
          <w:b/>
          <w:sz w:val="20"/>
        </w:rPr>
        <w:t xml:space="preserve">Architecture, non mesure. </w:t>
      </w:r>
      <w:r>
        <w:rPr>
          <w:sz w:val="20"/>
        </w:rPr>
        <w:t>Ce projet ne dispose d'aucune donnée en boucle fermée, et la dose administrée n'est pas publiée : la fonction de coût n'a donc rien à minimiser. C'est aussi pourquoi la page Boucle clinique indique une **direction** et jamais un réglage chiffré.</w:t>
      </w:r>
    </w:p>
    <w:p/>
    <w:p>
      <w:pPr>
        <w:pStyle w:val="Heading2"/>
      </w:pPr>
      <w:r>
        <w:rPr>
          <w:color w:val="1E3A8A"/>
        </w:rPr>
        <w:t>A.6 Hypothèse exploratoire 3-6-9 (Tesla)</w:t>
      </w:r>
    </w:p>
    <w:p>
      <w:pPr>
        <w:jc w:val="center"/>
      </w:pPr>
      <w:r>
        <w:rPr>
          <w:rFonts w:ascii="Cambria Math" w:hAnsi="Cambria Math"/>
          <w:sz w:val="24"/>
        </w:rPr>
        <w:t>R₃₆₉ = [P(3f₀) + P(6f₀) + P(9f₀)] / P_total</w:t>
      </w:r>
    </w:p>
    <w:p>
      <w:r>
        <w:rPr>
          <w:i/>
          <w:sz w:val="19"/>
        </w:rPr>
        <w:t>Fraction de puissance portée par trois harmoniques d'une fréquence fondamentale candidate f₀.</w:t>
      </w:r>
    </w:p>
    <w:p>
      <w:r>
        <w:rPr>
          <w:b/>
          <w:sz w:val="20"/>
        </w:rPr>
        <w:t xml:space="preserve">Statut — </w:t>
      </w:r>
      <w:r>
        <w:rPr>
          <w:b/>
          <w:sz w:val="20"/>
        </w:rPr>
        <w:t xml:space="preserve">Implémentée, testée, et réfutée selon son propre critère. </w:t>
      </w:r>
      <w:r>
        <w:rPr>
          <w:sz w:val="20"/>
        </w:rPr>
        <w:t>Le document exige que H369 soit « considérée comme non soutenue » si l'ajout n'améliore pas la performance hors échantillon ou disparaît après correction des comparaisons multiples. Les deux se produisent : l'ajout du bloc harmonique déplace l'AUC de +0,002 (à l'intérieur de l'intervalle de confiance), et sa meilleure variable — r = +0,239, p = 0,006 sur la réduction BDI-II, ce qui aurait fait un résultat publiable sans correction — remonte à q = 0,235 après Benjamini-Hochberg. C'est un résultat, obtenu en appliquant le protocole que l'hypothèse demandait.</w:t>
      </w:r>
    </w:p>
    <w:p/>
    <w:p>
      <w:pPr>
        <w:pStyle w:val="Heading2"/>
      </w:pPr>
      <w:r>
        <w:rPr>
          <w:color w:val="1E3A8A"/>
        </w:rPr>
        <w:t>A.7 Protocole d'évaluation et règle d'arrêt</w:t>
      </w:r>
    </w:p>
    <w:p>
      <w:r>
        <w:t>Les modèles A à E du protocole HYPO4 §11 sont exécutés par « python -m src.reporting.hypo_ablation », chaque barreau n'ajoutant qu'un seul bloc au précédent, sur les mêmes patients et les mêmes plis. Un modèle n'est déclaré porteur de signal que si les quatre conditions sont réunies simultanément :</w:t>
      </w:r>
    </w:p>
    <w:p>
      <w:pPr>
        <w:pStyle w:val="ListBullet"/>
      </w:pPr>
      <w:r>
        <w:t>l'intervalle de confiance à 95 % de l'AUC exclut 0,5 ;</w:t>
      </w:r>
    </w:p>
    <w:p>
      <w:pPr>
        <w:pStyle w:val="ListBullet"/>
      </w:pPr>
      <w:r>
        <w:t>le test de permutation donne p ≤ 0,05 ;</w:t>
      </w:r>
    </w:p>
    <w:p>
      <w:pPr>
        <w:pStyle w:val="ListBullet"/>
      </w:pPr>
      <w:r>
        <w:t>l'exactitude équilibrée dépasse 0,5 ;</w:t>
      </w:r>
    </w:p>
    <w:p>
      <w:pPr>
        <w:pStyle w:val="ListBullet"/>
      </w:pPr>
      <w:r>
        <w:t>les deux classes sont effectivement prédites.</w:t>
      </w:r>
    </w:p>
    <w:p>
      <w:pPr>
        <w:spacing w:before="80" w:after="160"/>
      </w:pPr>
      <w:r>
        <w:rPr>
          <w:b/>
          <w:color w:val="B45309"/>
        </w:rPr>
        <w:t xml:space="preserve">Note : </w:t>
      </w:r>
      <w:r>
        <w:t>L'exactitude n'entre volontairement pas dans cette règle. Sur cette cohorte (83 répondeurs sur 132), le modèle qui répond « répondeur » à tout le monde obtient une exactitude de 0,629 et un F1 de 0,768 : deux chiffres qui ressemblent à un modèle qui fonctionne. L'exactitude équilibrée vaut 0,500 pour ce même modèle, et sa spécificité 0,000.</w:t>
      </w:r>
    </w:p>
    <w:p>
      <w:r>
        <w:rPr>
          <w:b/>
          <w:sz w:val="20"/>
        </w:rPr>
        <w:t xml:space="preserve">Statut — </w:t>
      </w:r>
      <w:r>
        <w:rPr>
          <w:b/>
          <w:sz w:val="20"/>
        </w:rPr>
        <w:t xml:space="preserve">Contrôle positif — indispensable pour interpréter un résultat nul. </w:t>
      </w:r>
      <w:r>
        <w:rPr>
          <w:sz w:val="20"/>
        </w:rPr>
        <w:t>« La connectivité ne prédit rien » et « la connectivité a été mal calculée » produisent le même tableau. Les nouvelles variables sont donc confrontées à trois effets d'âge répliqués dans la littérature, sans rapport avec la rTMS : aplatissement de la pente 1/f (r = −0,335), baisse de la fréquence alpha individuelle (r = −0,174) et baisse de la synchronie alpha (r = −0,295). Les trois sont retrouvés avec le bon signe. L'instrument fonctionne ; c'est la tâche qui résiste.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