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Serif" w:cs="Roboto Serif" w:eastAsia="Roboto Serif" w:hAnsi="Roboto Serif"/>
        </w:rPr>
      </w:pPr>
      <w:bookmarkStart w:colFirst="0" w:colLast="0" w:name="_p9qgcw6t4ihm" w:id="0"/>
      <w:bookmarkEnd w:id="0"/>
      <w:r w:rsidDel="00000000" w:rsidR="00000000" w:rsidRPr="00000000">
        <w:rPr>
          <w:rFonts w:ascii="Roboto Serif" w:cs="Roboto Serif" w:eastAsia="Roboto Serif" w:hAnsi="Roboto Serif"/>
          <w:rtl w:val="0"/>
        </w:rPr>
        <w:t xml:space="preserve">Md Naimul Hoque</w:t>
      </w:r>
    </w:p>
    <w:p w:rsidR="00000000" w:rsidDel="00000000" w:rsidP="00000000" w:rsidRDefault="00000000" w:rsidRPr="00000000" w14:paraId="00000002">
      <w:pPr>
        <w:jc w:val="left"/>
        <w:rPr/>
      </w:pPr>
      <w:r w:rsidDel="00000000" w:rsidR="00000000" w:rsidRPr="00000000">
        <w:rPr>
          <w:rtl w:val="0"/>
        </w:rPr>
        <w:t xml:space="preserve">Email: </w:t>
      </w:r>
      <w:hyperlink r:id="rId6">
        <w:r w:rsidDel="00000000" w:rsidR="00000000" w:rsidRPr="00000000">
          <w:rPr>
            <w:color w:val="1155cc"/>
            <w:u w:val="single"/>
            <w:rtl w:val="0"/>
          </w:rPr>
          <w:t xml:space="preserve">nhoque@umd.edu</w:t>
        </w:r>
      </w:hyperlink>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Webpage: </w:t>
      </w:r>
      <w:hyperlink r:id="rId7">
        <w:r w:rsidDel="00000000" w:rsidR="00000000" w:rsidRPr="00000000">
          <w:rPr>
            <w:color w:val="1155cc"/>
            <w:u w:val="single"/>
            <w:rtl w:val="0"/>
          </w:rPr>
          <w:t xml:space="preserve">https://naimulh0que.github.io</w:t>
        </w:r>
      </w:hyperlink>
      <w:r w:rsidDel="00000000" w:rsidR="00000000" w:rsidRPr="00000000">
        <w:rPr>
          <w:rtl w:val="0"/>
        </w:rPr>
      </w:r>
    </w:p>
    <w:p w:rsidR="00000000" w:rsidDel="00000000" w:rsidP="00000000" w:rsidRDefault="00000000" w:rsidRPr="00000000" w14:paraId="00000004">
      <w:pPr>
        <w:pStyle w:val="Heading1"/>
        <w:spacing w:after="0" w:before="200" w:lineRule="auto"/>
        <w:rPr>
          <w:rFonts w:ascii="Roboto Serif Thin" w:cs="Roboto Serif Thin" w:eastAsia="Roboto Serif Thin" w:hAnsi="Roboto Serif Thin"/>
          <w:sz w:val="32"/>
          <w:szCs w:val="32"/>
        </w:rPr>
      </w:pPr>
      <w:bookmarkStart w:colFirst="0" w:colLast="0" w:name="_2xpbakqjlsia" w:id="1"/>
      <w:bookmarkEnd w:id="1"/>
      <w:r w:rsidDel="00000000" w:rsidR="00000000" w:rsidRPr="00000000">
        <w:rPr>
          <w:rFonts w:ascii="Roboto Serif Thin" w:cs="Roboto Serif Thin" w:eastAsia="Roboto Serif Thin" w:hAnsi="Roboto Serif Thin"/>
          <w:sz w:val="32"/>
          <w:szCs w:val="32"/>
          <w:rtl w:val="0"/>
        </w:rPr>
        <w:t xml:space="preserve">Research Interest</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I study how interactive systems can help people use AI reliably and get benefitted in the process. This typically results in novel interactive systems, data visualization, and data sonification techniques for promoting creativity, learning, and sensemaking.</w:t>
      </w:r>
    </w:p>
    <w:p w:rsidR="00000000" w:rsidDel="00000000" w:rsidP="00000000" w:rsidRDefault="00000000" w:rsidRPr="00000000" w14:paraId="00000006">
      <w:pPr>
        <w:pStyle w:val="Heading1"/>
        <w:spacing w:after="0" w:before="200" w:lineRule="auto"/>
        <w:rPr>
          <w:rFonts w:ascii="Roboto Serif Thin" w:cs="Roboto Serif Thin" w:eastAsia="Roboto Serif Thin" w:hAnsi="Roboto Serif Thin"/>
          <w:sz w:val="32"/>
          <w:szCs w:val="32"/>
          <w:highlight w:val="white"/>
        </w:rPr>
      </w:pPr>
      <w:bookmarkStart w:colFirst="0" w:colLast="0" w:name="_34306qk10ux1" w:id="2"/>
      <w:bookmarkEnd w:id="2"/>
      <w:r w:rsidDel="00000000" w:rsidR="00000000" w:rsidRPr="00000000">
        <w:rPr>
          <w:rFonts w:ascii="Roboto Serif Thin" w:cs="Roboto Serif Thin" w:eastAsia="Roboto Serif Thin" w:hAnsi="Roboto Serif Thin"/>
          <w:sz w:val="32"/>
          <w:szCs w:val="32"/>
          <w:rtl w:val="0"/>
        </w:rPr>
        <w:t xml:space="preserve">Education</w:t>
      </w:r>
      <w:r w:rsidDel="00000000" w:rsidR="00000000" w:rsidRPr="00000000">
        <w:rPr>
          <w:rtl w:val="0"/>
        </w:rPr>
      </w:r>
    </w:p>
    <w:tbl>
      <w:tblPr>
        <w:tblStyle w:val="Table1"/>
        <w:tblpPr w:leftFromText="180" w:rightFromText="180" w:topFromText="180" w:bottomFromText="180" w:vertAnchor="text" w:horzAnchor="text" w:tblpX="-15" w:tblpY="0"/>
        <w:tblW w:w="10620.0" w:type="dxa"/>
        <w:jc w:val="left"/>
        <w:tblLayout w:type="fixed"/>
        <w:tblLook w:val="0600"/>
      </w:tblPr>
      <w:tblGrid>
        <w:gridCol w:w="7905"/>
        <w:gridCol w:w="2715"/>
        <w:tblGridChange w:id="0">
          <w:tblGrid>
            <w:gridCol w:w="7905"/>
            <w:gridCol w:w="2715"/>
          </w:tblGrid>
        </w:tblGridChange>
      </w:tblGrid>
      <w:tr>
        <w:trPr>
          <w:cantSplit w:val="0"/>
          <w:tblHeader w:val="0"/>
        </w:trPr>
        <w:tc>
          <w:tcPr/>
          <w:p w:rsidR="00000000" w:rsidDel="00000000" w:rsidP="00000000" w:rsidRDefault="00000000" w:rsidRPr="00000000" w14:paraId="00000007">
            <w:pPr>
              <w:widowControl w:val="0"/>
              <w:spacing w:line="240" w:lineRule="auto"/>
              <w:rPr>
                <w:b w:val="1"/>
                <w:sz w:val="24"/>
                <w:szCs w:val="24"/>
                <w:highlight w:val="white"/>
              </w:rPr>
            </w:pPr>
            <w:r w:rsidDel="00000000" w:rsidR="00000000" w:rsidRPr="00000000">
              <w:rPr>
                <w:b w:val="1"/>
                <w:sz w:val="24"/>
                <w:szCs w:val="24"/>
                <w:highlight w:val="white"/>
                <w:rtl w:val="0"/>
              </w:rPr>
              <w:t xml:space="preserve">Ph.D in Information Studies</w:t>
            </w:r>
          </w:p>
          <w:p w:rsidR="00000000" w:rsidDel="00000000" w:rsidP="00000000" w:rsidRDefault="00000000" w:rsidRPr="00000000" w14:paraId="00000008">
            <w:pPr>
              <w:widowControl w:val="0"/>
              <w:spacing w:line="240" w:lineRule="auto"/>
              <w:rPr>
                <w:highlight w:val="white"/>
              </w:rPr>
            </w:pPr>
            <w:r w:rsidDel="00000000" w:rsidR="00000000" w:rsidRPr="00000000">
              <w:rPr>
                <w:highlight w:val="white"/>
                <w:rtl w:val="0"/>
              </w:rPr>
              <w:t xml:space="preserve">University of Maryland, College Park</w:t>
            </w:r>
          </w:p>
          <w:p w:rsidR="00000000" w:rsidDel="00000000" w:rsidP="00000000" w:rsidRDefault="00000000" w:rsidRPr="00000000" w14:paraId="00000009">
            <w:pPr>
              <w:widowControl w:val="0"/>
              <w:spacing w:line="240" w:lineRule="auto"/>
              <w:rPr>
                <w:highlight w:val="white"/>
              </w:rPr>
            </w:pPr>
            <w:r w:rsidDel="00000000" w:rsidR="00000000" w:rsidRPr="00000000">
              <w:rPr>
                <w:highlight w:val="white"/>
                <w:rtl w:val="0"/>
              </w:rPr>
              <w:t xml:space="preserve">MD, USA</w:t>
            </w:r>
          </w:p>
        </w:tc>
        <w:tc>
          <w:tcPr/>
          <w:p w:rsidR="00000000" w:rsidDel="00000000" w:rsidP="00000000" w:rsidRDefault="00000000" w:rsidRPr="00000000" w14:paraId="0000000A">
            <w:pPr>
              <w:widowControl w:val="0"/>
              <w:spacing w:line="240" w:lineRule="auto"/>
              <w:jc w:val="right"/>
              <w:rPr>
                <w:sz w:val="24"/>
                <w:szCs w:val="24"/>
                <w:highlight w:val="white"/>
              </w:rPr>
            </w:pPr>
            <w:r w:rsidDel="00000000" w:rsidR="00000000" w:rsidRPr="00000000">
              <w:rPr>
                <w:sz w:val="24"/>
                <w:szCs w:val="24"/>
                <w:highlight w:val="white"/>
                <w:rtl w:val="0"/>
              </w:rPr>
              <w:t xml:space="preserve">Sep 2020-</w:t>
            </w:r>
          </w:p>
        </w:tc>
      </w:tr>
      <w:tr>
        <w:trPr>
          <w:cantSplit w:val="0"/>
          <w:tblHeader w:val="0"/>
        </w:trPr>
        <w:tc>
          <w:tcPr/>
          <w:p w:rsidR="00000000" w:rsidDel="00000000" w:rsidP="00000000" w:rsidRDefault="00000000" w:rsidRPr="00000000" w14:paraId="0000000B">
            <w:pPr>
              <w:widowControl w:val="0"/>
              <w:spacing w:line="240" w:lineRule="auto"/>
              <w:rPr>
                <w:b w:val="1"/>
                <w:sz w:val="24"/>
                <w:szCs w:val="24"/>
                <w:highlight w:val="white"/>
              </w:rPr>
            </w:pPr>
            <w:r w:rsidDel="00000000" w:rsidR="00000000" w:rsidRPr="00000000">
              <w:rPr>
                <w:b w:val="1"/>
                <w:sz w:val="24"/>
                <w:szCs w:val="24"/>
                <w:highlight w:val="white"/>
                <w:rtl w:val="0"/>
              </w:rPr>
              <w:t xml:space="preserve">M.S in Computer Science</w:t>
            </w:r>
          </w:p>
          <w:p w:rsidR="00000000" w:rsidDel="00000000" w:rsidP="00000000" w:rsidRDefault="00000000" w:rsidRPr="00000000" w14:paraId="0000000C">
            <w:pPr>
              <w:widowControl w:val="0"/>
              <w:spacing w:line="240" w:lineRule="auto"/>
              <w:rPr>
                <w:highlight w:val="white"/>
              </w:rPr>
            </w:pPr>
            <w:r w:rsidDel="00000000" w:rsidR="00000000" w:rsidRPr="00000000">
              <w:rPr>
                <w:highlight w:val="white"/>
                <w:rtl w:val="0"/>
              </w:rPr>
              <w:t xml:space="preserve">Stony Brook University, Stony Brook</w:t>
            </w:r>
          </w:p>
          <w:p w:rsidR="00000000" w:rsidDel="00000000" w:rsidP="00000000" w:rsidRDefault="00000000" w:rsidRPr="00000000" w14:paraId="0000000D">
            <w:pPr>
              <w:widowControl w:val="0"/>
              <w:spacing w:line="240" w:lineRule="auto"/>
              <w:rPr>
                <w:highlight w:val="white"/>
              </w:rPr>
            </w:pPr>
            <w:r w:rsidDel="00000000" w:rsidR="00000000" w:rsidRPr="00000000">
              <w:rPr>
                <w:highlight w:val="white"/>
                <w:rtl w:val="0"/>
              </w:rPr>
              <w:t xml:space="preserve">NY, USA</w:t>
            </w:r>
          </w:p>
        </w:tc>
        <w:tc>
          <w:tcPr/>
          <w:p w:rsidR="00000000" w:rsidDel="00000000" w:rsidP="00000000" w:rsidRDefault="00000000" w:rsidRPr="00000000" w14:paraId="0000000E">
            <w:pPr>
              <w:widowControl w:val="0"/>
              <w:spacing w:line="240" w:lineRule="auto"/>
              <w:jc w:val="right"/>
              <w:rPr>
                <w:sz w:val="24"/>
                <w:szCs w:val="24"/>
                <w:highlight w:val="white"/>
              </w:rPr>
            </w:pPr>
            <w:r w:rsidDel="00000000" w:rsidR="00000000" w:rsidRPr="00000000">
              <w:rPr>
                <w:sz w:val="24"/>
                <w:szCs w:val="24"/>
                <w:highlight w:val="white"/>
                <w:rtl w:val="0"/>
              </w:rPr>
              <w:t xml:space="preserve">Aug 2018- May 2020</w:t>
            </w:r>
          </w:p>
        </w:tc>
      </w:tr>
      <w:tr>
        <w:trPr>
          <w:cantSplit w:val="0"/>
          <w:tblHeader w:val="0"/>
        </w:trPr>
        <w:tc>
          <w:tcPr/>
          <w:p w:rsidR="00000000" w:rsidDel="00000000" w:rsidP="00000000" w:rsidRDefault="00000000" w:rsidRPr="00000000" w14:paraId="0000000F">
            <w:pPr>
              <w:widowControl w:val="0"/>
              <w:spacing w:line="240" w:lineRule="auto"/>
              <w:rPr>
                <w:b w:val="1"/>
                <w:sz w:val="24"/>
                <w:szCs w:val="24"/>
                <w:highlight w:val="white"/>
              </w:rPr>
            </w:pPr>
            <w:r w:rsidDel="00000000" w:rsidR="00000000" w:rsidRPr="00000000">
              <w:rPr>
                <w:b w:val="1"/>
                <w:sz w:val="24"/>
                <w:szCs w:val="24"/>
                <w:highlight w:val="white"/>
                <w:rtl w:val="0"/>
              </w:rPr>
              <w:t xml:space="preserve">B.Sc in Computer Science</w:t>
            </w:r>
          </w:p>
          <w:p w:rsidR="00000000" w:rsidDel="00000000" w:rsidP="00000000" w:rsidRDefault="00000000" w:rsidRPr="00000000" w14:paraId="00000010">
            <w:pPr>
              <w:widowControl w:val="0"/>
              <w:spacing w:line="240" w:lineRule="auto"/>
              <w:rPr>
                <w:highlight w:val="white"/>
              </w:rPr>
            </w:pPr>
            <w:r w:rsidDel="00000000" w:rsidR="00000000" w:rsidRPr="00000000">
              <w:rPr>
                <w:highlight w:val="white"/>
                <w:rtl w:val="0"/>
              </w:rPr>
              <w:t xml:space="preserve">University of Dhaka</w:t>
            </w:r>
          </w:p>
          <w:p w:rsidR="00000000" w:rsidDel="00000000" w:rsidP="00000000" w:rsidRDefault="00000000" w:rsidRPr="00000000" w14:paraId="00000011">
            <w:pPr>
              <w:widowControl w:val="0"/>
              <w:spacing w:line="240" w:lineRule="auto"/>
              <w:rPr>
                <w:highlight w:val="white"/>
              </w:rPr>
            </w:pPr>
            <w:r w:rsidDel="00000000" w:rsidR="00000000" w:rsidRPr="00000000">
              <w:rPr>
                <w:highlight w:val="white"/>
                <w:rtl w:val="0"/>
              </w:rPr>
              <w:t xml:space="preserve">Dhaka, Bangladesh</w:t>
            </w:r>
          </w:p>
        </w:tc>
        <w:tc>
          <w:tcPr/>
          <w:p w:rsidR="00000000" w:rsidDel="00000000" w:rsidP="00000000" w:rsidRDefault="00000000" w:rsidRPr="00000000" w14:paraId="00000012">
            <w:pPr>
              <w:widowControl w:val="0"/>
              <w:spacing w:line="240" w:lineRule="auto"/>
              <w:jc w:val="right"/>
              <w:rPr>
                <w:sz w:val="24"/>
                <w:szCs w:val="24"/>
                <w:highlight w:val="white"/>
              </w:rPr>
            </w:pPr>
            <w:r w:rsidDel="00000000" w:rsidR="00000000" w:rsidRPr="00000000">
              <w:rPr>
                <w:sz w:val="24"/>
                <w:szCs w:val="24"/>
                <w:highlight w:val="white"/>
                <w:rtl w:val="0"/>
              </w:rPr>
              <w:t xml:space="preserve">Jan 2011- Jan 2015</w:t>
            </w:r>
          </w:p>
        </w:tc>
      </w:tr>
    </w:tbl>
    <w:p w:rsidR="00000000" w:rsidDel="00000000" w:rsidP="00000000" w:rsidRDefault="00000000" w:rsidRPr="00000000" w14:paraId="00000013">
      <w:pPr>
        <w:pStyle w:val="Heading1"/>
        <w:rPr>
          <w:rFonts w:ascii="Roboto Serif Thin" w:cs="Roboto Serif Thin" w:eastAsia="Roboto Serif Thin" w:hAnsi="Roboto Serif Thin"/>
          <w:sz w:val="32"/>
          <w:szCs w:val="32"/>
        </w:rPr>
      </w:pPr>
      <w:bookmarkStart w:colFirst="0" w:colLast="0" w:name="_ntr71cy1of91" w:id="3"/>
      <w:bookmarkEnd w:id="3"/>
      <w:r w:rsidDel="00000000" w:rsidR="00000000" w:rsidRPr="00000000">
        <w:rPr>
          <w:rFonts w:ascii="Roboto Serif Thin" w:cs="Roboto Serif Thin" w:eastAsia="Roboto Serif Thin" w:hAnsi="Roboto Serif Thin"/>
          <w:sz w:val="32"/>
          <w:szCs w:val="32"/>
          <w:rtl w:val="0"/>
        </w:rPr>
        <w:t xml:space="preserve">Publication</w:t>
      </w:r>
      <w:r w:rsidDel="00000000" w:rsidR="00000000" w:rsidRPr="00000000">
        <w:rPr>
          <w:rtl w:val="0"/>
        </w:rPr>
      </w:r>
    </w:p>
    <w:p w:rsidR="00000000" w:rsidDel="00000000" w:rsidP="00000000" w:rsidRDefault="00000000" w:rsidRPr="00000000" w14:paraId="00000014">
      <w:pPr>
        <w:pStyle w:val="Heading2"/>
        <w:spacing w:after="0" w:before="0" w:lineRule="auto"/>
        <w:rPr>
          <w:rFonts w:ascii="Roboto Serif Thin" w:cs="Roboto Serif Thin" w:eastAsia="Roboto Serif Thin" w:hAnsi="Roboto Serif Thin"/>
          <w:sz w:val="24"/>
          <w:szCs w:val="24"/>
        </w:rPr>
      </w:pPr>
      <w:bookmarkStart w:colFirst="0" w:colLast="0" w:name="_5bv1jnc661sk" w:id="4"/>
      <w:bookmarkEnd w:id="4"/>
      <w:r w:rsidDel="00000000" w:rsidR="00000000" w:rsidRPr="00000000">
        <w:rPr>
          <w:rFonts w:ascii="Roboto Serif Thin" w:cs="Roboto Serif Thin" w:eastAsia="Roboto Serif Thin" w:hAnsi="Roboto Serif Thin"/>
          <w:sz w:val="24"/>
          <w:szCs w:val="24"/>
          <w:rtl w:val="0"/>
        </w:rPr>
        <w:t xml:space="preserve">Conference and Journal Publication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Shahreen Salim,</w:t>
      </w:r>
      <w:r w:rsidDel="00000000" w:rsidR="00000000" w:rsidRPr="00000000">
        <w:rPr>
          <w:b w:val="1"/>
          <w:rtl w:val="0"/>
        </w:rPr>
        <w:t xml:space="preserve"> Md Naimul Hoque</w:t>
      </w:r>
      <w:r w:rsidDel="00000000" w:rsidR="00000000" w:rsidRPr="00000000">
        <w:rPr>
          <w:rtl w:val="0"/>
        </w:rPr>
        <w:t xml:space="preserve">, Klaus Mueller. Belief Miner: A Methodology for Discovering Causal Beliefs and Causal Illusions from General Populations.</w:t>
      </w:r>
      <w:r w:rsidDel="00000000" w:rsidR="00000000" w:rsidRPr="00000000">
        <w:rPr>
          <w:i w:val="1"/>
          <w:rtl w:val="0"/>
        </w:rPr>
        <w:t xml:space="preserve"> Proceedings of the ACM on Human-Computer Interaction (CSCW)</w:t>
      </w:r>
      <w:r w:rsidDel="00000000" w:rsidR="00000000" w:rsidRPr="00000000">
        <w:rPr>
          <w:rtl w:val="0"/>
        </w:rPr>
        <w:t xml:space="preserve">, 2023</w:t>
      </w:r>
      <w:r w:rsidDel="00000000" w:rsidR="00000000" w:rsidRPr="00000000">
        <w:rPr>
          <w:rtl w:val="0"/>
        </w:rPr>
        <w:t xml:space="preserve">. (accepted with minor revision)</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Niklas Elmqvist. Dataopsy: Scalable and Fluid Visual Exploration using Aggregate Query Sculpting.</w:t>
      </w:r>
      <w:r w:rsidDel="00000000" w:rsidR="00000000" w:rsidRPr="00000000">
        <w:rPr>
          <w:i w:val="1"/>
          <w:rtl w:val="0"/>
        </w:rPr>
        <w:t xml:space="preserve"> IEEE Transaction on Visualization and Computer Graphics (TVCG)</w:t>
      </w:r>
      <w:r w:rsidDel="00000000" w:rsidR="00000000" w:rsidRPr="00000000">
        <w:rPr>
          <w:rtl w:val="0"/>
        </w:rPr>
        <w:t xml:space="preserve">, 2023. (to appear)</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Bhavya Ghai, Kari Kraus, Niklas Elmqvist. Portrayal: Leveraging NLP and Visualization for Analyzing Fictional Characters. </w:t>
      </w:r>
      <w:r w:rsidDel="00000000" w:rsidR="00000000" w:rsidRPr="00000000">
        <w:rPr>
          <w:i w:val="1"/>
          <w:rtl w:val="0"/>
        </w:rPr>
        <w:t xml:space="preserve">Proceedings of the ACM Conference on Designing Interactive Systems (DIS)</w:t>
      </w:r>
      <w:r w:rsidDel="00000000" w:rsidR="00000000" w:rsidRPr="00000000">
        <w:rPr>
          <w:rtl w:val="0"/>
        </w:rPr>
        <w:t xml:space="preserve">, ACM, New York, NY, USA, 2023. </w:t>
      </w:r>
      <w:hyperlink r:id="rId8">
        <w:r w:rsidDel="00000000" w:rsidR="00000000" w:rsidRPr="00000000">
          <w:rPr>
            <w:color w:val="1155cc"/>
            <w:u w:val="single"/>
            <w:rtl w:val="0"/>
          </w:rPr>
          <w:t xml:space="preserve">https://doi.org/10.1145/3563657.3596000</w:t>
        </w:r>
      </w:hyperlink>
      <w:r w:rsidDel="00000000" w:rsidR="00000000" w:rsidRPr="00000000">
        <w:rPr>
          <w:rtl w:val="0"/>
        </w:rPr>
        <w:t xml:space="preserve">. </w:t>
      </w:r>
      <w:r w:rsidDel="00000000" w:rsidR="00000000" w:rsidRPr="00000000">
        <w:rPr>
          <w:rtl w:val="0"/>
        </w:rPr>
        <w:t xml:space="preserve">(</w:t>
      </w:r>
      <w:hyperlink r:id="rId9">
        <w:r w:rsidDel="00000000" w:rsidR="00000000" w:rsidRPr="00000000">
          <w:rPr>
            <w:color w:val="1155cc"/>
            <w:u w:val="single"/>
            <w:rtl w:val="0"/>
          </w:rPr>
          <w:t xml:space="preserve">demo</w:t>
        </w:r>
      </w:hyperlink>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Md Ehtesham-Ul-Haque, Niklas Elmqvist, Syed Masum Billah. Accessible Data Representation with Natural Sounds. </w:t>
      </w:r>
      <w:r w:rsidDel="00000000" w:rsidR="00000000" w:rsidRPr="00000000">
        <w:rPr>
          <w:i w:val="1"/>
          <w:rtl w:val="0"/>
        </w:rPr>
        <w:t xml:space="preserve">Proceedings of the ACM Conference on Human Factors in Computing Systems (CHI)</w:t>
      </w:r>
      <w:r w:rsidDel="00000000" w:rsidR="00000000" w:rsidRPr="00000000">
        <w:rPr>
          <w:rtl w:val="0"/>
        </w:rPr>
        <w:t xml:space="preserve">, ACM, New York, NY, USA, 2023. </w:t>
      </w:r>
      <w:hyperlink r:id="rId10">
        <w:r w:rsidDel="00000000" w:rsidR="00000000" w:rsidRPr="00000000">
          <w:rPr>
            <w:color w:val="1155cc"/>
            <w:u w:val="single"/>
            <w:rtl w:val="0"/>
          </w:rPr>
          <w:t xml:space="preserve">https://doi.org/10.1145/3544548.3581087</w:t>
        </w:r>
      </w:hyperlink>
      <w:r w:rsidDel="00000000" w:rsidR="00000000" w:rsidRPr="00000000">
        <w:rPr>
          <w:rtl w:val="0"/>
        </w:rPr>
        <w:t xml:space="preserve">. </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Wenbin He, Shekar Arvind Kumar, Liang Gou, Liu Ren. Visual Concept Programming: A Visual Analytics Approach to Injecting Human Intelligence at Scale. </w:t>
      </w:r>
      <w:r w:rsidDel="00000000" w:rsidR="00000000" w:rsidRPr="00000000">
        <w:rPr>
          <w:i w:val="1"/>
          <w:rtl w:val="0"/>
        </w:rPr>
        <w:t xml:space="preserve">IEEE Transaction on Visualization and Computer Graphics (TVCG)</w:t>
      </w:r>
      <w:r w:rsidDel="00000000" w:rsidR="00000000" w:rsidRPr="00000000">
        <w:rPr>
          <w:rtl w:val="0"/>
        </w:rPr>
        <w:t xml:space="preserve">, 2022. </w:t>
      </w:r>
      <w:hyperlink r:id="rId11">
        <w:r w:rsidDel="00000000" w:rsidR="00000000" w:rsidRPr="00000000">
          <w:rPr>
            <w:color w:val="1155cc"/>
            <w:u w:val="single"/>
            <w:rtl w:val="0"/>
          </w:rPr>
          <w:t xml:space="preserve">https://doi.org/10.1109/TVCG.2022.3209466</w:t>
        </w:r>
      </w:hyperlink>
      <w:r w:rsidDel="00000000" w:rsidR="00000000" w:rsidRPr="00000000">
        <w:rPr>
          <w:rtl w:val="0"/>
        </w:rPr>
        <w:t xml:space="preserve">. (</w:t>
      </w:r>
      <w:hyperlink r:id="rId12">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Bhavya Ghai, Niklas Elmqvist. </w:t>
      </w:r>
      <w:r w:rsidDel="00000000" w:rsidR="00000000" w:rsidRPr="00000000">
        <w:rPr>
          <w:rtl w:val="0"/>
        </w:rPr>
        <w:t xml:space="preserve">DramatVis</w:t>
      </w:r>
      <w:r w:rsidDel="00000000" w:rsidR="00000000" w:rsidRPr="00000000">
        <w:rPr>
          <w:rtl w:val="0"/>
        </w:rPr>
        <w:t xml:space="preserve"> Personae: Visual Text Analytics for Identifying Social Biases in Creative Writing. </w:t>
      </w:r>
      <w:r w:rsidDel="00000000" w:rsidR="00000000" w:rsidRPr="00000000">
        <w:rPr>
          <w:i w:val="1"/>
          <w:rtl w:val="0"/>
        </w:rPr>
        <w:t xml:space="preserve">Proceedings of the ACM Conference on Designing Interactive Systems (DIS)</w:t>
      </w:r>
      <w:r w:rsidDel="00000000" w:rsidR="00000000" w:rsidRPr="00000000">
        <w:rPr>
          <w:rtl w:val="0"/>
        </w:rPr>
        <w:t xml:space="preserve">, ACM, New York, NY, USA, 2022. </w:t>
      </w:r>
      <w:hyperlink r:id="rId13">
        <w:r w:rsidDel="00000000" w:rsidR="00000000" w:rsidRPr="00000000">
          <w:rPr>
            <w:color w:val="1155cc"/>
            <w:u w:val="single"/>
            <w:rtl w:val="0"/>
          </w:rPr>
          <w:t xml:space="preserve">https://doi.org/10.1145/3532106.3533526</w:t>
        </w:r>
      </w:hyperlink>
      <w:r w:rsidDel="00000000" w:rsidR="00000000" w:rsidRPr="00000000">
        <w:rPr>
          <w:rtl w:val="0"/>
        </w:rPr>
        <w:t xml:space="preserve">. </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Md Naimul Hoque</w:t>
      </w:r>
      <w:r w:rsidDel="00000000" w:rsidR="00000000" w:rsidRPr="00000000">
        <w:rPr>
          <w:rtl w:val="0"/>
        </w:rPr>
        <w:t xml:space="preserve">, Klaus Mueller. Outcome-Explorer: A Causality Guided Interactive Visual Interface for Interpretable Algorithmic Decision Making. </w:t>
      </w:r>
      <w:r w:rsidDel="00000000" w:rsidR="00000000" w:rsidRPr="00000000">
        <w:rPr>
          <w:i w:val="1"/>
          <w:rtl w:val="0"/>
        </w:rPr>
        <w:t xml:space="preserve">IEEE Transaction on Visualization and Computer Graphics (TVCG)</w:t>
      </w:r>
      <w:r w:rsidDel="00000000" w:rsidR="00000000" w:rsidRPr="00000000">
        <w:rPr>
          <w:rtl w:val="0"/>
        </w:rPr>
        <w:t xml:space="preserve">, 2021. </w:t>
      </w:r>
      <w:hyperlink r:id="rId14">
        <w:r w:rsidDel="00000000" w:rsidR="00000000" w:rsidRPr="00000000">
          <w:rPr>
            <w:color w:val="1155cc"/>
            <w:u w:val="single"/>
            <w:rtl w:val="0"/>
          </w:rPr>
          <w:t xml:space="preserve">https://doi.org/10.1109/TVCG.2021.3102051</w:t>
        </w:r>
      </w:hyperlink>
      <w:r w:rsidDel="00000000" w:rsidR="00000000" w:rsidRPr="00000000">
        <w:rPr>
          <w:rtl w:val="0"/>
        </w:rPr>
        <w:t xml:space="preserve">. (</w:t>
      </w:r>
      <w:hyperlink r:id="rId15">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b w:val="1"/>
          <w:rtl w:val="0"/>
        </w:rPr>
        <w:t xml:space="preserve">Md Naimul Hoque</w:t>
      </w:r>
      <w:r w:rsidDel="00000000" w:rsidR="00000000" w:rsidRPr="00000000">
        <w:rPr>
          <w:rtl w:val="0"/>
        </w:rPr>
        <w:t xml:space="preserve">, Nazmus Saquib, Syed Masum Billah, and Klaus Mueller. Toward Interactively Balancing the Screen Time of Actors Based on Observable Phenotypic Traits in Live Telecast.</w:t>
      </w:r>
      <w:r w:rsidDel="00000000" w:rsidR="00000000" w:rsidRPr="00000000">
        <w:rPr>
          <w:i w:val="1"/>
          <w:rtl w:val="0"/>
        </w:rPr>
        <w:t xml:space="preserve"> Proceedings of the ACM on Human-Computer Interaction (CSCW)</w:t>
      </w:r>
      <w:r w:rsidDel="00000000" w:rsidR="00000000" w:rsidRPr="00000000">
        <w:rPr>
          <w:rtl w:val="0"/>
        </w:rPr>
        <w:t xml:space="preserve">,  ACM, New York, NY, USA, 2020. </w:t>
      </w:r>
      <w:hyperlink r:id="rId16">
        <w:r w:rsidDel="00000000" w:rsidR="00000000" w:rsidRPr="00000000">
          <w:rPr>
            <w:color w:val="1155cc"/>
            <w:u w:val="single"/>
            <w:rtl w:val="0"/>
          </w:rPr>
          <w:t xml:space="preserve">https://doi.org/10.1145/3415225</w:t>
        </w:r>
      </w:hyperlink>
      <w:r w:rsidDel="00000000" w:rsidR="00000000" w:rsidRPr="00000000">
        <w:rPr>
          <w:rtl w:val="0"/>
        </w:rPr>
        <w:t xml:space="preserve">. </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Md Naimul Hoque</w:t>
      </w:r>
      <w:r w:rsidDel="00000000" w:rsidR="00000000" w:rsidRPr="00000000">
        <w:rPr>
          <w:rtl w:val="0"/>
        </w:rPr>
        <w:t xml:space="preserve">, Choudhury Farhan Ahmed, Nicolas Lachiche, Carson K. Leung, Hao Zhang. Reframing in Clustering. IEEE 28th International Conference on Tools with Artificial Intelligence (ICTAI), 2016. (</w:t>
      </w:r>
      <w:hyperlink r:id="rId17">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1E">
      <w:pPr>
        <w:pStyle w:val="Heading2"/>
        <w:spacing w:after="0" w:before="200" w:lineRule="auto"/>
        <w:rPr>
          <w:rFonts w:ascii="Roboto Serif Thin" w:cs="Roboto Serif Thin" w:eastAsia="Roboto Serif Thin" w:hAnsi="Roboto Serif Thin"/>
          <w:sz w:val="24"/>
          <w:szCs w:val="24"/>
        </w:rPr>
      </w:pPr>
      <w:bookmarkStart w:colFirst="0" w:colLast="0" w:name="_gys7wl18d6jv" w:id="5"/>
      <w:bookmarkEnd w:id="5"/>
      <w:r w:rsidDel="00000000" w:rsidR="00000000" w:rsidRPr="00000000">
        <w:rPr>
          <w:rFonts w:ascii="Roboto Serif Thin" w:cs="Roboto Serif Thin" w:eastAsia="Roboto Serif Thin" w:hAnsi="Roboto Serif Thin"/>
          <w:sz w:val="24"/>
          <w:szCs w:val="24"/>
          <w:rtl w:val="0"/>
        </w:rPr>
        <w:t xml:space="preserve">Workshops, Posters, and Extended Abstracts</w:t>
      </w:r>
    </w:p>
    <w:p w:rsidR="00000000" w:rsidDel="00000000" w:rsidP="00000000" w:rsidRDefault="00000000" w:rsidRPr="00000000" w14:paraId="0000001F">
      <w:pPr>
        <w:numPr>
          <w:ilvl w:val="0"/>
          <w:numId w:val="1"/>
        </w:numPr>
        <w:spacing w:after="0" w:afterAutospacing="0" w:line="342.84000000000003" w:lineRule="auto"/>
        <w:ind w:left="720" w:hanging="360"/>
        <w:rPr/>
      </w:pPr>
      <w:r w:rsidDel="00000000" w:rsidR="00000000" w:rsidRPr="00000000">
        <w:rPr>
          <w:b w:val="1"/>
          <w:rtl w:val="0"/>
        </w:rPr>
        <w:t xml:space="preserve">Md Naimul Hoque</w:t>
      </w:r>
      <w:r w:rsidDel="00000000" w:rsidR="00000000" w:rsidRPr="00000000">
        <w:rPr>
          <w:rtl w:val="0"/>
        </w:rPr>
        <w:t xml:space="preserve">, Niklas Elmqvist. Augmenting Human-AI Co-Writing with Interactive Visualization. </w:t>
      </w:r>
      <w:r w:rsidDel="00000000" w:rsidR="00000000" w:rsidRPr="00000000">
        <w:rPr>
          <w:rtl w:val="0"/>
        </w:rPr>
        <w:t xml:space="preserve">In2Writing</w:t>
      </w:r>
      <w:r w:rsidDel="00000000" w:rsidR="00000000" w:rsidRPr="00000000">
        <w:rPr>
          <w:rtl w:val="0"/>
        </w:rPr>
        <w:t xml:space="preserve"> Workshop, ACM CHI 2023.</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tl w:val="0"/>
        </w:rPr>
        <w:t xml:space="preserve">Bhavya Ghai, </w:t>
      </w:r>
      <w:r w:rsidDel="00000000" w:rsidR="00000000" w:rsidRPr="00000000">
        <w:rPr>
          <w:b w:val="1"/>
          <w:rtl w:val="0"/>
        </w:rPr>
        <w:t xml:space="preserve">Md Naimul Hoque</w:t>
      </w:r>
      <w:r w:rsidDel="00000000" w:rsidR="00000000" w:rsidRPr="00000000">
        <w:rPr>
          <w:rtl w:val="0"/>
        </w:rPr>
        <w:t xml:space="preserve">, Klaus Mueller. WordBias: An Interactive Visual Tool for Exploring Intersectional Social Biases Encoded in Word Embeddings. Extended Abstracts of the ACM Conference on Human Factors in Computing Systems (CHI), ACM, New York, NY, USA, 2021. </w:t>
      </w:r>
    </w:p>
    <w:p w:rsidR="00000000" w:rsidDel="00000000" w:rsidP="00000000" w:rsidRDefault="00000000" w:rsidRPr="00000000" w14:paraId="00000021">
      <w:pPr>
        <w:numPr>
          <w:ilvl w:val="0"/>
          <w:numId w:val="1"/>
        </w:numPr>
        <w:spacing w:after="0" w:afterAutospacing="0" w:before="0" w:beforeAutospacing="0" w:lineRule="auto"/>
        <w:ind w:left="720" w:hanging="360"/>
        <w:rPr/>
      </w:pPr>
      <w:r w:rsidDel="00000000" w:rsidR="00000000" w:rsidRPr="00000000">
        <w:rPr>
          <w:b w:val="1"/>
          <w:rtl w:val="0"/>
        </w:rPr>
        <w:t xml:space="preserve">Md Naimul Hoque</w:t>
      </w:r>
      <w:r w:rsidDel="00000000" w:rsidR="00000000" w:rsidRPr="00000000">
        <w:rPr>
          <w:rtl w:val="0"/>
        </w:rPr>
        <w:t xml:space="preserve">, Niklas Elmqvist. Towards Using Visual Analytics to Promote Diversity, Equity, and Inclusion. Artificially Intelligent Technology for the Margins: A Multidisciplinary Design Agenda. CHI Workshop, 2021.</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b w:val="1"/>
          <w:rtl w:val="0"/>
        </w:rPr>
        <w:t xml:space="preserve">Md Naimul Hoque</w:t>
      </w:r>
      <w:r w:rsidDel="00000000" w:rsidR="00000000" w:rsidRPr="00000000">
        <w:rPr>
          <w:rtl w:val="0"/>
        </w:rPr>
        <w:t xml:space="preserve">, Darius Coelho, Klaus Mueller. Examining the Visualization Practices of Data Scientists on Kaggle. IEEE VIS Poster, 2019.</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tl w:val="0"/>
        </w:rPr>
        <w:t xml:space="preserve">Md Mehedi Hassan, Ashik Adnan, Asif M. Saleheen,</w:t>
      </w:r>
      <w:r w:rsidDel="00000000" w:rsidR="00000000" w:rsidRPr="00000000">
        <w:rPr>
          <w:b w:val="1"/>
          <w:rtl w:val="0"/>
        </w:rPr>
        <w:t xml:space="preserve"> Md Naimul Hoque</w:t>
      </w:r>
      <w:r w:rsidDel="00000000" w:rsidR="00000000" w:rsidRPr="00000000">
        <w:rPr>
          <w:rtl w:val="0"/>
        </w:rPr>
        <w:t xml:space="preserve">. Understanding the Patterns of Crime Reports in a Popular Bangladeshi Newspaper. Companion of ACM CSCW, 2019.</w:t>
      </w:r>
    </w:p>
    <w:p w:rsidR="00000000" w:rsidDel="00000000" w:rsidP="00000000" w:rsidRDefault="00000000" w:rsidRPr="00000000" w14:paraId="00000024">
      <w:pPr>
        <w:numPr>
          <w:ilvl w:val="0"/>
          <w:numId w:val="1"/>
        </w:numPr>
        <w:spacing w:after="240" w:before="0" w:beforeAutospacing="0" w:lineRule="auto"/>
        <w:ind w:left="720" w:hanging="360"/>
        <w:rPr/>
      </w:pPr>
      <w:r w:rsidDel="00000000" w:rsidR="00000000" w:rsidRPr="00000000">
        <w:rPr>
          <w:b w:val="1"/>
          <w:rtl w:val="0"/>
        </w:rPr>
        <w:t xml:space="preserve">Md Naimul Hoque</w:t>
      </w:r>
      <w:r w:rsidDel="00000000" w:rsidR="00000000" w:rsidRPr="00000000">
        <w:rPr>
          <w:rtl w:val="0"/>
        </w:rPr>
        <w:t xml:space="preserve">, Rawshan E. Fatima, Manash Mandal, Nazmus Saquib. Evaluating gender portrayal in Bangladeshi TV. Machine Learning for the Developing World, NIPS Workshop, 2017.</w:t>
      </w:r>
    </w:p>
    <w:p w:rsidR="00000000" w:rsidDel="00000000" w:rsidP="00000000" w:rsidRDefault="00000000" w:rsidRPr="00000000" w14:paraId="00000025">
      <w:pPr>
        <w:pStyle w:val="Heading1"/>
        <w:spacing w:after="0" w:before="200" w:lineRule="auto"/>
        <w:rPr>
          <w:rFonts w:ascii="Roboto Serif Thin" w:cs="Roboto Serif Thin" w:eastAsia="Roboto Serif Thin" w:hAnsi="Roboto Serif Thin"/>
          <w:sz w:val="32"/>
          <w:szCs w:val="32"/>
        </w:rPr>
      </w:pPr>
      <w:bookmarkStart w:colFirst="0" w:colLast="0" w:name="_okots3u4pctx" w:id="6"/>
      <w:bookmarkEnd w:id="6"/>
      <w:r w:rsidDel="00000000" w:rsidR="00000000" w:rsidRPr="00000000">
        <w:rPr>
          <w:rFonts w:ascii="Roboto Serif Thin" w:cs="Roboto Serif Thin" w:eastAsia="Roboto Serif Thin" w:hAnsi="Roboto Serif Thin"/>
          <w:sz w:val="32"/>
          <w:szCs w:val="32"/>
          <w:rtl w:val="0"/>
        </w:rPr>
        <w:t xml:space="preserve">Employment</w:t>
      </w:r>
    </w:p>
    <w:tbl>
      <w:tblPr>
        <w:tblStyle w:val="Table2"/>
        <w:tblW w:w="10590.0" w:type="dxa"/>
        <w:jc w:val="left"/>
        <w:tblLayout w:type="fixed"/>
        <w:tblLook w:val="0600"/>
      </w:tblPr>
      <w:tblGrid>
        <w:gridCol w:w="7935"/>
        <w:gridCol w:w="2655"/>
        <w:tblGridChange w:id="0">
          <w:tblGrid>
            <w:gridCol w:w="793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Graduate Research Assistant</w:t>
            </w:r>
          </w:p>
          <w:p w:rsidR="00000000" w:rsidDel="00000000" w:rsidP="00000000" w:rsidRDefault="00000000" w:rsidRPr="00000000" w14:paraId="00000027">
            <w:pPr>
              <w:widowControl w:val="0"/>
              <w:spacing w:line="240" w:lineRule="auto"/>
              <w:rPr/>
            </w:pPr>
            <w:r w:rsidDel="00000000" w:rsidR="00000000" w:rsidRPr="00000000">
              <w:rPr>
                <w:rtl w:val="0"/>
              </w:rPr>
              <w:t xml:space="preserve">Human-Computer Interaction Lab, University of Maryland</w:t>
            </w:r>
          </w:p>
          <w:p w:rsidR="00000000" w:rsidDel="00000000" w:rsidP="00000000" w:rsidRDefault="00000000" w:rsidRPr="00000000" w14:paraId="00000028">
            <w:pPr>
              <w:widowControl w:val="0"/>
              <w:spacing w:line="240" w:lineRule="auto"/>
              <w:rPr/>
            </w:pPr>
            <w:r w:rsidDel="00000000" w:rsidR="00000000" w:rsidRPr="00000000">
              <w:rPr>
                <w:rtl w:val="0"/>
              </w:rPr>
              <w:t xml:space="preserve">Advisor: Niklas Elmqvist</w:t>
            </w:r>
          </w:p>
          <w:p w:rsidR="00000000" w:rsidDel="00000000" w:rsidP="00000000" w:rsidRDefault="00000000" w:rsidRPr="00000000" w14:paraId="00000029">
            <w:pPr>
              <w:widowControl w:val="0"/>
              <w:spacing w:line="240" w:lineRule="auto"/>
              <w:rPr/>
            </w:pPr>
            <w:r w:rsidDel="00000000" w:rsidR="00000000" w:rsidRPr="00000000">
              <w:rPr>
                <w:rtl w:val="0"/>
              </w:rPr>
              <w:t xml:space="preserve">Focus: Creativity support tools, accessible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pPr>
            <w:r w:rsidDel="00000000" w:rsidR="00000000" w:rsidRPr="00000000">
              <w:rPr>
                <w:rtl w:val="0"/>
              </w:rPr>
              <w:t xml:space="preserve">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Research Intern</w:t>
            </w:r>
          </w:p>
          <w:p w:rsidR="00000000" w:rsidDel="00000000" w:rsidP="00000000" w:rsidRDefault="00000000" w:rsidRPr="00000000" w14:paraId="0000002C">
            <w:pPr>
              <w:widowControl w:val="0"/>
              <w:spacing w:line="240" w:lineRule="auto"/>
              <w:rPr/>
            </w:pPr>
            <w:r w:rsidDel="00000000" w:rsidR="00000000" w:rsidRPr="00000000">
              <w:rPr>
                <w:rtl w:val="0"/>
              </w:rPr>
              <w:t xml:space="preserve">Bosch Research</w:t>
            </w:r>
          </w:p>
          <w:p w:rsidR="00000000" w:rsidDel="00000000" w:rsidP="00000000" w:rsidRDefault="00000000" w:rsidRPr="00000000" w14:paraId="0000002D">
            <w:pPr>
              <w:widowControl w:val="0"/>
              <w:spacing w:line="240" w:lineRule="auto"/>
              <w:rPr/>
            </w:pPr>
            <w:r w:rsidDel="00000000" w:rsidR="00000000" w:rsidRPr="00000000">
              <w:rPr>
                <w:rtl w:val="0"/>
              </w:rPr>
              <w:t xml:space="preserve">Advisor: Liang Gou</w:t>
            </w:r>
          </w:p>
          <w:p w:rsidR="00000000" w:rsidDel="00000000" w:rsidP="00000000" w:rsidRDefault="00000000" w:rsidRPr="00000000" w14:paraId="0000002E">
            <w:pPr>
              <w:widowControl w:val="0"/>
              <w:spacing w:line="240" w:lineRule="auto"/>
              <w:rPr/>
            </w:pPr>
            <w:r w:rsidDel="00000000" w:rsidR="00000000" w:rsidRPr="00000000">
              <w:rPr>
                <w:rtl w:val="0"/>
              </w:rPr>
              <w:t xml:space="preserve">Focus: Interactively labeling large-scale image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pPr>
            <w:r w:rsidDel="00000000" w:rsidR="00000000" w:rsidRPr="00000000">
              <w:rPr>
                <w:rtl w:val="0"/>
              </w:rPr>
              <w:t xml:space="preserve">May 2021- Aug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Graduate Teaching Assistant</w:t>
            </w:r>
          </w:p>
          <w:p w:rsidR="00000000" w:rsidDel="00000000" w:rsidP="00000000" w:rsidRDefault="00000000" w:rsidRPr="00000000" w14:paraId="00000031">
            <w:pPr>
              <w:widowControl w:val="0"/>
              <w:spacing w:line="240" w:lineRule="auto"/>
              <w:rPr/>
            </w:pPr>
            <w:r w:rsidDel="00000000" w:rsidR="00000000" w:rsidRPr="00000000">
              <w:rPr>
                <w:rtl w:val="0"/>
              </w:rPr>
              <w:t xml:space="preserve">University of Maryland</w:t>
            </w:r>
          </w:p>
          <w:p w:rsidR="00000000" w:rsidDel="00000000" w:rsidP="00000000" w:rsidRDefault="00000000" w:rsidRPr="00000000" w14:paraId="00000032">
            <w:pPr>
              <w:widowControl w:val="0"/>
              <w:spacing w:line="240" w:lineRule="auto"/>
              <w:rPr/>
            </w:pPr>
            <w:r w:rsidDel="00000000" w:rsidR="00000000" w:rsidRPr="00000000">
              <w:rPr>
                <w:rtl w:val="0"/>
              </w:rPr>
              <w:t xml:space="preserve">Courses: Data Visualization, Big Data Analytics,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pPr>
            <w:r w:rsidDel="00000000" w:rsidR="00000000" w:rsidRPr="00000000">
              <w:rPr>
                <w:rtl w:val="0"/>
              </w:rPr>
              <w:t xml:space="preserve">Sep 2020 - May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Graduate Research Assistant</w:t>
            </w:r>
          </w:p>
          <w:p w:rsidR="00000000" w:rsidDel="00000000" w:rsidP="00000000" w:rsidRDefault="00000000" w:rsidRPr="00000000" w14:paraId="00000035">
            <w:pPr>
              <w:widowControl w:val="0"/>
              <w:spacing w:line="240" w:lineRule="auto"/>
              <w:rPr/>
            </w:pPr>
            <w:r w:rsidDel="00000000" w:rsidR="00000000" w:rsidRPr="00000000">
              <w:rPr>
                <w:rtl w:val="0"/>
              </w:rPr>
              <w:t xml:space="preserve">Stony Brook University</w:t>
            </w:r>
          </w:p>
          <w:p w:rsidR="00000000" w:rsidDel="00000000" w:rsidP="00000000" w:rsidRDefault="00000000" w:rsidRPr="00000000" w14:paraId="00000036">
            <w:pPr>
              <w:widowControl w:val="0"/>
              <w:spacing w:line="240" w:lineRule="auto"/>
              <w:rPr/>
            </w:pPr>
            <w:r w:rsidDel="00000000" w:rsidR="00000000" w:rsidRPr="00000000">
              <w:rPr>
                <w:rtl w:val="0"/>
              </w:rPr>
              <w:t xml:space="preserve">Advisor: Klaus Mueller</w:t>
            </w:r>
          </w:p>
          <w:p w:rsidR="00000000" w:rsidDel="00000000" w:rsidP="00000000" w:rsidRDefault="00000000" w:rsidRPr="00000000" w14:paraId="00000037">
            <w:pPr>
              <w:widowControl w:val="0"/>
              <w:spacing w:line="240" w:lineRule="auto"/>
              <w:rPr/>
            </w:pPr>
            <w:r w:rsidDel="00000000" w:rsidR="00000000" w:rsidRPr="00000000">
              <w:rPr>
                <w:rtl w:val="0"/>
              </w:rPr>
              <w:t xml:space="preserve">Focus: Creativity support tools, interactive causal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pPr>
            <w:r w:rsidDel="00000000" w:rsidR="00000000" w:rsidRPr="00000000">
              <w:rPr>
                <w:rtl w:val="0"/>
              </w:rPr>
              <w:t xml:space="preserve">May 2019 - Aug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Lecturer</w:t>
            </w:r>
          </w:p>
          <w:p w:rsidR="00000000" w:rsidDel="00000000" w:rsidP="00000000" w:rsidRDefault="00000000" w:rsidRPr="00000000" w14:paraId="0000003A">
            <w:pPr>
              <w:widowControl w:val="0"/>
              <w:spacing w:line="240" w:lineRule="auto"/>
              <w:rPr/>
            </w:pPr>
            <w:r w:rsidDel="00000000" w:rsidR="00000000" w:rsidRPr="00000000">
              <w:rPr>
                <w:rtl w:val="0"/>
              </w:rPr>
              <w:t xml:space="preserve">Eastern University</w:t>
            </w:r>
          </w:p>
          <w:p w:rsidR="00000000" w:rsidDel="00000000" w:rsidP="00000000" w:rsidRDefault="00000000" w:rsidRPr="00000000" w14:paraId="0000003B">
            <w:pPr>
              <w:widowControl w:val="0"/>
              <w:spacing w:line="240" w:lineRule="auto"/>
              <w:rPr/>
            </w:pPr>
            <w:r w:rsidDel="00000000" w:rsidR="00000000" w:rsidRPr="00000000">
              <w:rPr>
                <w:rtl w:val="0"/>
              </w:rPr>
              <w:t xml:space="preserve">Dhaka, 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pPr>
            <w:r w:rsidDel="00000000" w:rsidR="00000000" w:rsidRPr="00000000">
              <w:rPr>
                <w:rtl w:val="0"/>
              </w:rPr>
              <w:t xml:space="preserve">July 2015 - May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Software Engineer</w:t>
            </w:r>
          </w:p>
          <w:p w:rsidR="00000000" w:rsidDel="00000000" w:rsidP="00000000" w:rsidRDefault="00000000" w:rsidRPr="00000000" w14:paraId="0000003E">
            <w:pPr>
              <w:widowControl w:val="0"/>
              <w:spacing w:line="240" w:lineRule="auto"/>
              <w:rPr/>
            </w:pPr>
            <w:r w:rsidDel="00000000" w:rsidR="00000000" w:rsidRPr="00000000">
              <w:rPr>
                <w:rtl w:val="0"/>
              </w:rPr>
              <w:t xml:space="preserve">Enosis Solution</w:t>
            </w:r>
          </w:p>
          <w:p w:rsidR="00000000" w:rsidDel="00000000" w:rsidP="00000000" w:rsidRDefault="00000000" w:rsidRPr="00000000" w14:paraId="0000003F">
            <w:pPr>
              <w:widowControl w:val="0"/>
              <w:spacing w:line="240" w:lineRule="auto"/>
              <w:rPr/>
            </w:pPr>
            <w:r w:rsidDel="00000000" w:rsidR="00000000" w:rsidRPr="00000000">
              <w:rPr>
                <w:rtl w:val="0"/>
              </w:rPr>
              <w:t xml:space="preserve">Dhaka, 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Jan 2015 - June 2015</w:t>
            </w:r>
          </w:p>
        </w:tc>
      </w:tr>
    </w:tbl>
    <w:p w:rsidR="00000000" w:rsidDel="00000000" w:rsidP="00000000" w:rsidRDefault="00000000" w:rsidRPr="00000000" w14:paraId="00000041">
      <w:pPr>
        <w:pStyle w:val="Heading1"/>
        <w:spacing w:after="0" w:before="200" w:lineRule="auto"/>
        <w:rPr>
          <w:rFonts w:ascii="Roboto Serif Thin" w:cs="Roboto Serif Thin" w:eastAsia="Roboto Serif Thin" w:hAnsi="Roboto Serif Thin"/>
          <w:sz w:val="32"/>
          <w:szCs w:val="32"/>
        </w:rPr>
      </w:pPr>
      <w:bookmarkStart w:colFirst="0" w:colLast="0" w:name="_v6gkqx2vhmal" w:id="7"/>
      <w:bookmarkEnd w:id="7"/>
      <w:r w:rsidDel="00000000" w:rsidR="00000000" w:rsidRPr="00000000">
        <w:rPr>
          <w:rFonts w:ascii="Roboto Serif Thin" w:cs="Roboto Serif Thin" w:eastAsia="Roboto Serif Thin" w:hAnsi="Roboto Serif Thin"/>
          <w:sz w:val="32"/>
          <w:szCs w:val="32"/>
          <w:rtl w:val="0"/>
        </w:rPr>
        <w:t xml:space="preserve">Invited Talks</w:t>
      </w:r>
    </w:p>
    <w:tbl>
      <w:tblPr>
        <w:tblStyle w:val="Table3"/>
        <w:tblW w:w="10305.0" w:type="dxa"/>
        <w:jc w:val="left"/>
        <w:tblLayout w:type="fixed"/>
        <w:tblLook w:val="0600"/>
      </w:tblPr>
      <w:tblGrid>
        <w:gridCol w:w="8145"/>
        <w:gridCol w:w="2160"/>
        <w:tblGridChange w:id="0">
          <w:tblGrid>
            <w:gridCol w:w="814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giCentre, City, University of 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May 2023</w:t>
            </w:r>
          </w:p>
        </w:tc>
      </w:tr>
      <w:tr>
        <w:trPr>
          <w:cantSplit w:val="0"/>
          <w:trHeight w:val="41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HCIL Symposium, University of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April 2023</w:t>
            </w:r>
          </w:p>
        </w:tc>
      </w:tr>
      <w:tr>
        <w:trPr>
          <w:cantSplit w:val="0"/>
          <w:trHeight w:val="38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DGP Lab, University of 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Feb 2023</w:t>
            </w:r>
          </w:p>
        </w:tc>
      </w:tr>
    </w:tbl>
    <w:p w:rsidR="00000000" w:rsidDel="00000000" w:rsidP="00000000" w:rsidRDefault="00000000" w:rsidRPr="00000000" w14:paraId="00000048">
      <w:pPr>
        <w:pStyle w:val="Heading1"/>
        <w:spacing w:after="0" w:before="200" w:lineRule="auto"/>
        <w:rPr>
          <w:rFonts w:ascii="Roboto Serif Thin" w:cs="Roboto Serif Thin" w:eastAsia="Roboto Serif Thin" w:hAnsi="Roboto Serif Thin"/>
          <w:sz w:val="32"/>
          <w:szCs w:val="32"/>
        </w:rPr>
      </w:pPr>
      <w:bookmarkStart w:colFirst="0" w:colLast="0" w:name="_i68p0a9xqsls" w:id="8"/>
      <w:bookmarkEnd w:id="8"/>
      <w:r w:rsidDel="00000000" w:rsidR="00000000" w:rsidRPr="00000000">
        <w:rPr>
          <w:rFonts w:ascii="Roboto Serif Thin" w:cs="Roboto Serif Thin" w:eastAsia="Roboto Serif Thin" w:hAnsi="Roboto Serif Thin"/>
          <w:sz w:val="32"/>
          <w:szCs w:val="32"/>
          <w:rtl w:val="0"/>
        </w:rPr>
        <w:t xml:space="preserve">Awards and Recognitions</w:t>
      </w:r>
    </w:p>
    <w:tbl>
      <w:tblPr>
        <w:tblStyle w:val="Table4"/>
        <w:tblW w:w="10290.0" w:type="dxa"/>
        <w:jc w:val="left"/>
        <w:tblLayout w:type="fixed"/>
        <w:tblLook w:val="0600"/>
      </w:tblPr>
      <w:tblGrid>
        <w:gridCol w:w="8175"/>
        <w:gridCol w:w="2115"/>
        <w:tblGridChange w:id="0">
          <w:tblGrid>
            <w:gridCol w:w="817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Doctoral Student Research Award ($1000), UMD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May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rPr/>
            </w:pPr>
            <w:r w:rsidDel="00000000" w:rsidR="00000000" w:rsidRPr="00000000">
              <w:rPr>
                <w:rtl w:val="0"/>
              </w:rPr>
              <w:t xml:space="preserve">Dr. Dana Rotman Doctoral Student Travel Awards ($130), UMD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Feb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Doctoral Student Research Award ($1000), UMD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March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pPr>
            <w:r w:rsidDel="00000000" w:rsidR="00000000" w:rsidRPr="00000000">
              <w:rPr>
                <w:rtl w:val="0"/>
              </w:rPr>
              <w:t xml:space="preserve">Chairman’s Fellowship ($3000), Stony Brook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August 2018</w:t>
            </w:r>
          </w:p>
        </w:tc>
      </w:tr>
    </w:tbl>
    <w:p w:rsidR="00000000" w:rsidDel="00000000" w:rsidP="00000000" w:rsidRDefault="00000000" w:rsidRPr="00000000" w14:paraId="00000051">
      <w:pPr>
        <w:rPr/>
      </w:pPr>
      <w:r w:rsidDel="00000000" w:rsidR="00000000" w:rsidRPr="00000000">
        <w:rPr>
          <w:rtl w:val="0"/>
        </w:rPr>
      </w:r>
    </w:p>
    <w:sectPr>
      <w:pgSz w:h="15840" w:w="12240" w:orient="portrait"/>
      <w:pgMar w:bottom="993.5999999999999" w:top="633.6"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Serif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TVCG.2022.3209466" TargetMode="External"/><Relationship Id="rId10" Type="http://schemas.openxmlformats.org/officeDocument/2006/relationships/hyperlink" Target="https://doi.org/10.1145/3544548.3581087" TargetMode="External"/><Relationship Id="rId13" Type="http://schemas.openxmlformats.org/officeDocument/2006/relationships/hyperlink" Target="https://doi.org/10.1145/3532106.3533526" TargetMode="External"/><Relationship Id="rId12" Type="http://schemas.openxmlformats.org/officeDocument/2006/relationships/hyperlink" Target="https://naimulh0que.github.io/docs/vcp.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racter-traits.herokuapp.com/home" TargetMode="External"/><Relationship Id="rId15" Type="http://schemas.openxmlformats.org/officeDocument/2006/relationships/hyperlink" Target="https://naimulh0que.github.io/docs/Outcome_Explorer_final_manuscript.pdf" TargetMode="External"/><Relationship Id="rId14" Type="http://schemas.openxmlformats.org/officeDocument/2006/relationships/hyperlink" Target="https://doi.org/10.1109/TVCG.2021.3102051" TargetMode="External"/><Relationship Id="rId17" Type="http://schemas.openxmlformats.org/officeDocument/2006/relationships/hyperlink" Target="https://naimulh0que.github.io/docs/RfmCluster_ICTAI2016.pdf" TargetMode="External"/><Relationship Id="rId16" Type="http://schemas.openxmlformats.org/officeDocument/2006/relationships/hyperlink" Target="https://doi.org/10.1145/3415225" TargetMode="External"/><Relationship Id="rId5" Type="http://schemas.openxmlformats.org/officeDocument/2006/relationships/styles" Target="styles.xml"/><Relationship Id="rId6" Type="http://schemas.openxmlformats.org/officeDocument/2006/relationships/hyperlink" Target="mailto:nhoque@umd.edu" TargetMode="External"/><Relationship Id="rId7" Type="http://schemas.openxmlformats.org/officeDocument/2006/relationships/hyperlink" Target="https://naimulh0que.github.io" TargetMode="External"/><Relationship Id="rId8" Type="http://schemas.openxmlformats.org/officeDocument/2006/relationships/hyperlink" Target="https://doi.org/10.1145/3563657.3596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RobotoSerifThin-regular.ttf"/><Relationship Id="rId6" Type="http://schemas.openxmlformats.org/officeDocument/2006/relationships/font" Target="fonts/RobotoSerifThin-bold.ttf"/><Relationship Id="rId7" Type="http://schemas.openxmlformats.org/officeDocument/2006/relationships/font" Target="fonts/RobotoSerifThin-italic.ttf"/><Relationship Id="rId8" Type="http://schemas.openxmlformats.org/officeDocument/2006/relationships/font" Target="fonts/RobotoSerif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