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sz w:val="22"/>
        </w:rPr>
        <w:t>Table 1. Model Performance Benchmarking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Test R²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RMSE (eV)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MAE (eV)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CV R² (5-fold)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CV σ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Extra Trees (highest R²)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0.7414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0.2267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0.1529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0.6996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0.0947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Random Forest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0.7116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0.2395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0.6952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0.0750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Gradient Boosting (SHAP)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0.7197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0.2360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0.6614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0.1028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SVR-RBF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0.5024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0.3145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0.1991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0.6762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0.0821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Lasso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0.5552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0.2973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0.2292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0.4735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0.0549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Ridge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0.5539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0.2978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0.2298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0.4674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0.0566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ElasticNet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0.5547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0.2975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0.2293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0.4744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0.0523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2"/>
        </w:rPr>
        <w:t>Table 2. Noise Floor vs. 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Value (eV)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Tauc-plot single-lab noise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0.075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MAE, full dataset (N = 638)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0.1699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Median inter-paper σ, repeated pairs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0.1783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Mean inter-paper σ, repeated pairs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0.2491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RMSE, full dataset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0.2360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90th-percentile inter-paper 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0.5838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MAE, clean subset (N ≈ 566)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0.1171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RMSE, clean subset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0.1595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2"/>
        </w:rPr>
        <w:t>Table 3. High-Variance Host–Dopant Pairs (σ &gt; 0.40 eV)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Host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Dopant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papers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rows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σ (eV)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Range (eV)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SnO2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0.8009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1.8814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In2O3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0.7336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1.0375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SnO2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0.7248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1.0250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0.6195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1.1525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ZnO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0.5798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0.8200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0.5185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0.7333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CeO2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Gd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0.4971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0.9942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CeO2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0.4967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0.9933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2"/>
        </w:rPr>
        <w:t>Table 4. Gradient Boosting Performance: Full vs. Clean Subset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Full dataset (N = 638)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Clean subset (N ≈ 566)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Test R²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0.7197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0.8291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+0.1093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RMSE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0.2360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0.1595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-0.0765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MAE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0.1699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0.1171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-0.0529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CV-R² (5-fold)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0.661 ± 0.103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0.685 ± 0.051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+0.024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2"/>
        </w:rPr>
        <w:t>Table 5. Per-Host Within-Paper Concentration-Sensitivity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Host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series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Pearson r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 agr. (%)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TiO2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88.2%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CeO2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0.895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92.0%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SnO2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0.842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75.0%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ZnO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0.842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75.0%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0.715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76.2%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In2O3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-0.068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56.2%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Overall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0.837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0.000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78.2%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2"/>
        </w:rPr>
        <w:t>Table S1. Key Computed Metrics (Supplementary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 Trees  Test R²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0.7414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 Trees  RMSE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0.2267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 Trees  MAE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0.1529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 Trees  CV R² ± σ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0.6996 ± 0.0947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 Test R²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0.7197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 RMSE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0.2360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 MAE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0.1699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 CV R² ± σ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0.6614 ± 0.1028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Conformal q₉₀ half-width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0.3858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Conformal full interval width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0.7717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Conformal empirical coverage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89.8%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Conformal finite-sample guarantee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≥89.0%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Conformal Nᴄᴀʟ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102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residual mean (eV)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0.0195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residuals within ±0.10 eV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42.2%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GB residuals within ±0.20 eV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72.7%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Clean-subset R² (GB)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0.8291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Clean-subset RMSE (eV) (GB)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0.1595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Clean-subset MAE (eV) (GB)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0.1171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Clean-subset CV-R² ± σ (GB)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0.6850 ± 0.0506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Within-paper slope r, all series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0.837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Within-paper slope r, mixed series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0.234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Mixed-series p-value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0.048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Within-paper slope r, train-only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0.988</w:t>
            </w:r>
          </w:p>
        </w:tc>
      </w:tr>
      <w:tr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Sign agreement, all series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93/119 (78.2%)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