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0B763A">
      <w:pPr>
        <w:spacing w:after="800"/>
      </w:pPr>
    </w:p>
    <w:p w14:paraId="1CCA9F13">
      <w:pPr>
        <w:spacing w:after="120"/>
        <w:jc w:val="center"/>
        <w:rPr>
          <w:sz w:val="36"/>
          <w:szCs w:val="36"/>
        </w:rPr>
      </w:pPr>
      <w:r>
        <w:rPr>
          <w:rFonts w:ascii="Arial" w:hAnsi="Arial" w:eastAsia="Arial" w:cs="Arial"/>
          <w:b/>
          <w:bCs/>
          <w:color w:val="595959"/>
          <w:sz w:val="28"/>
          <w:szCs w:val="28"/>
        </w:rPr>
        <w:t>ENHANCING DIGITAL GOVERNMENT &amp; ECONOMY (EDGE) PROJECT</w:t>
      </w:r>
    </w:p>
    <w:p w14:paraId="6F642B9D">
      <w:pPr>
        <w:spacing w:after="120"/>
        <w:jc w:val="center"/>
        <w:rPr>
          <w:sz w:val="36"/>
          <w:szCs w:val="36"/>
        </w:rPr>
      </w:pPr>
      <w:r>
        <w:rPr>
          <w:rFonts w:ascii="Arial" w:hAnsi="Arial" w:eastAsia="Arial" w:cs="Arial"/>
          <w:color w:val="595959"/>
          <w:sz w:val="28"/>
          <w:szCs w:val="28"/>
        </w:rPr>
        <w:t>Institute of Information &amp; Communication Technology</w:t>
      </w:r>
    </w:p>
    <w:p w14:paraId="594BA4EF">
      <w:pPr>
        <w:spacing w:after="400"/>
        <w:jc w:val="center"/>
        <w:rPr>
          <w:sz w:val="36"/>
          <w:szCs w:val="36"/>
        </w:rPr>
      </w:pPr>
      <w:r>
        <w:rPr>
          <w:rFonts w:ascii="Arial" w:hAnsi="Arial" w:eastAsia="Arial" w:cs="Arial"/>
          <w:color w:val="595959"/>
          <w:sz w:val="28"/>
          <w:szCs w:val="28"/>
        </w:rPr>
        <w:t>Dhaka University of Engineering &amp; Technology, Gazipur</w:t>
      </w:r>
    </w:p>
    <w:p w14:paraId="4F7D5797">
      <w:pPr>
        <w:pBdr>
          <w:bottom w:val="single" w:color="2E75B6" w:sz="8" w:space="1"/>
        </w:pBdr>
        <w:spacing w:after="200"/>
      </w:pPr>
    </w:p>
    <w:p w14:paraId="2AD71353">
      <w:pPr>
        <w:spacing w:after="200"/>
      </w:pPr>
    </w:p>
    <w:p w14:paraId="22B2D95E">
      <w:pPr>
        <w:keepNext w:val="0"/>
        <w:keepLines w:val="0"/>
        <w:pageBreakBefore w:val="0"/>
        <w:widowControl/>
        <w:kinsoku/>
        <w:wordWrap/>
        <w:overflowPunct/>
        <w:topLinePunct w:val="0"/>
        <w:autoSpaceDE/>
        <w:autoSpaceDN/>
        <w:bidi w:val="0"/>
        <w:adjustRightInd/>
        <w:snapToGrid/>
        <w:spacing w:after="40"/>
        <w:jc w:val="center"/>
        <w:textAlignment w:val="auto"/>
      </w:pPr>
      <w:r>
        <w:rPr>
          <w:rFonts w:ascii="Arial" w:hAnsi="Arial" w:eastAsia="Arial" w:cs="Arial"/>
          <w:b/>
          <w:bCs/>
          <w:color w:val="2E75B6"/>
          <w:sz w:val="24"/>
          <w:szCs w:val="24"/>
        </w:rPr>
        <w:t>Applied Machine Learning — Final Project Report</w:t>
      </w:r>
    </w:p>
    <w:p w14:paraId="1BB2D108">
      <w:pPr>
        <w:spacing w:after="200"/>
        <w:jc w:val="center"/>
      </w:pPr>
      <w:r>
        <w:rPr>
          <w:rFonts w:ascii="Arial" w:hAnsi="Arial" w:eastAsia="Arial" w:cs="Arial"/>
          <w:b/>
          <w:bCs/>
          <w:color w:val="1F4E79"/>
          <w:sz w:val="48"/>
          <w:szCs w:val="48"/>
        </w:rPr>
        <w:t>STUDENT DROPOUT RISK PREDICTOR</w:t>
      </w:r>
    </w:p>
    <w:p w14:paraId="22B019BF">
      <w:pPr>
        <w:spacing w:after="600"/>
        <w:jc w:val="center"/>
      </w:pPr>
      <w:r>
        <w:rPr>
          <w:rFonts w:ascii="Arial" w:hAnsi="Arial" w:eastAsia="Arial" w:cs="Arial"/>
          <w:i/>
          <w:iCs/>
          <w:color w:val="2E75B6"/>
          <w:sz w:val="26"/>
          <w:szCs w:val="26"/>
        </w:rPr>
        <w:t>A Machine Learning Pipeline for Early Identification of At-Risk Students</w:t>
      </w:r>
    </w:p>
    <w:p w14:paraId="3341D720">
      <w:pPr>
        <w:pBdr>
          <w:bottom w:val="single" w:color="2E75B6" w:sz="8" w:space="1"/>
        </w:pBdr>
        <w:spacing w:after="200"/>
      </w:pPr>
    </w:p>
    <w:p w14:paraId="75EF1EA7">
      <w:pPr>
        <w:keepNext w:val="0"/>
        <w:keepLines w:val="0"/>
        <w:pageBreakBefore w:val="0"/>
        <w:widowControl/>
        <w:kinsoku/>
        <w:wordWrap/>
        <w:overflowPunct/>
        <w:topLinePunct w:val="0"/>
        <w:autoSpaceDE/>
        <w:autoSpaceDN/>
        <w:bidi w:val="0"/>
        <w:adjustRightInd/>
        <w:snapToGrid/>
        <w:spacing w:after="120"/>
        <w:jc w:val="center"/>
        <w:textAlignment w:val="auto"/>
        <w:rPr>
          <w:rFonts w:hint="default" w:cs="Arial"/>
          <w:i/>
          <w:iCs/>
          <w:color w:val="2E75B6"/>
          <w:sz w:val="26"/>
          <w:szCs w:val="26"/>
          <w:lang w:val="en-GB"/>
        </w:rPr>
      </w:pPr>
      <w:r>
        <w:rPr>
          <w:rFonts w:hint="default" w:cs="Arial"/>
          <w:i/>
          <w:iCs/>
          <w:color w:val="2E75B6"/>
          <w:sz w:val="26"/>
          <w:szCs w:val="26"/>
          <w:lang w:val="en-GB"/>
        </w:rPr>
        <w:t>Live Link:</w:t>
      </w:r>
    </w:p>
    <w:p w14:paraId="415B2ABC">
      <w:pPr>
        <w:keepNext w:val="0"/>
        <w:keepLines w:val="0"/>
        <w:pageBreakBefore w:val="0"/>
        <w:widowControl/>
        <w:kinsoku/>
        <w:wordWrap/>
        <w:overflowPunct/>
        <w:topLinePunct w:val="0"/>
        <w:autoSpaceDE/>
        <w:autoSpaceDN/>
        <w:bidi w:val="0"/>
        <w:adjustRightInd/>
        <w:snapToGrid/>
        <w:spacing w:after="120"/>
        <w:jc w:val="center"/>
        <w:textAlignment w:val="auto"/>
        <w:rPr>
          <w:rFonts w:hint="default" w:cs="Arial"/>
          <w:i/>
          <w:iCs/>
          <w:color w:val="2E75B6"/>
          <w:sz w:val="26"/>
          <w:szCs w:val="26"/>
          <w:lang w:val="en-GB"/>
        </w:rPr>
      </w:pPr>
      <w:r>
        <w:rPr>
          <w:rFonts w:hint="default" w:cs="Arial"/>
          <w:i/>
          <w:iCs/>
          <w:color w:val="2E75B6"/>
          <w:sz w:val="26"/>
          <w:szCs w:val="26"/>
          <w:lang w:val="en-GB"/>
        </w:rPr>
        <w:t>GitHub LInk:</w:t>
      </w:r>
    </w:p>
    <w:p w14:paraId="0B781ECE">
      <w:pPr>
        <w:pBdr>
          <w:bottom w:val="single" w:color="2E75B6" w:sz="8" w:space="1"/>
        </w:pBdr>
        <w:spacing w:after="200"/>
      </w:pPr>
    </w:p>
    <w:p w14:paraId="66768659">
      <w:pPr>
        <w:spacing w:after="400"/>
      </w:pPr>
    </w:p>
    <w:p w14:paraId="4463C989">
      <w:pPr>
        <w:spacing w:after="400"/>
      </w:pPr>
    </w:p>
    <w:p w14:paraId="24924D2F">
      <w:pPr>
        <w:spacing w:after="400"/>
      </w:pPr>
    </w:p>
    <w:p w14:paraId="79DBD5CC">
      <w:pPr>
        <w:spacing w:after="100"/>
        <w:jc w:val="center"/>
      </w:pPr>
      <w:r>
        <w:rPr>
          <w:rFonts w:ascii="Arial" w:hAnsi="Arial" w:eastAsia="Arial" w:cs="Arial"/>
          <w:color w:val="595959"/>
          <w:sz w:val="20"/>
          <w:szCs w:val="20"/>
        </w:rPr>
        <w:t>Prepared by</w:t>
      </w:r>
    </w:p>
    <w:p w14:paraId="36FDDFA4">
      <w:pPr>
        <w:spacing w:after="100"/>
        <w:jc w:val="center"/>
        <w:rPr>
          <w:rFonts w:hint="default" w:cs="Arial"/>
          <w:b/>
          <w:bCs/>
          <w:color w:val="000000"/>
          <w:sz w:val="26"/>
          <w:szCs w:val="26"/>
          <w:lang w:val="en-GB"/>
        </w:rPr>
      </w:pPr>
      <w:r>
        <w:rPr>
          <w:rFonts w:ascii="Arial" w:hAnsi="Arial" w:eastAsia="Arial" w:cs="Arial"/>
          <w:b/>
          <w:bCs/>
          <w:color w:val="000000"/>
          <w:sz w:val="26"/>
          <w:szCs w:val="26"/>
        </w:rPr>
        <w:t>Naimur</w:t>
      </w:r>
      <w:r>
        <w:rPr>
          <w:rFonts w:hint="default" w:cs="Arial"/>
          <w:b/>
          <w:bCs/>
          <w:color w:val="000000"/>
          <w:sz w:val="26"/>
          <w:szCs w:val="26"/>
          <w:lang w:val="en-GB"/>
        </w:rPr>
        <w:t xml:space="preserve"> Rahman</w:t>
      </w:r>
    </w:p>
    <w:p w14:paraId="4689FC8D">
      <w:pPr>
        <w:spacing w:after="100"/>
        <w:jc w:val="center"/>
      </w:pPr>
      <w:r>
        <w:rPr>
          <w:rFonts w:hint="default" w:cs="Arial"/>
          <w:b w:val="0"/>
          <w:bCs w:val="0"/>
          <w:color w:val="000000"/>
          <w:sz w:val="26"/>
          <w:szCs w:val="26"/>
          <w:lang w:val="en-GB"/>
        </w:rPr>
        <w:t>Naimur.naiyimu@gmail.com</w:t>
      </w:r>
    </w:p>
    <w:p w14:paraId="0404B103">
      <w:pPr>
        <w:spacing w:after="300"/>
      </w:pPr>
    </w:p>
    <w:p w14:paraId="5196C4ED">
      <w:pPr>
        <w:spacing w:after="100"/>
        <w:jc w:val="center"/>
        <w:rPr>
          <w:sz w:val="24"/>
          <w:szCs w:val="24"/>
        </w:rPr>
      </w:pPr>
      <w:r>
        <w:rPr>
          <w:rFonts w:ascii="Arial" w:hAnsi="Arial" w:eastAsia="Arial" w:cs="Arial"/>
          <w:color w:val="595959"/>
          <w:sz w:val="21"/>
          <w:szCs w:val="21"/>
        </w:rPr>
        <w:t>Instructors</w:t>
      </w:r>
    </w:p>
    <w:p w14:paraId="79D67D58">
      <w:pPr>
        <w:spacing w:after="100"/>
        <w:jc w:val="center"/>
        <w:rPr>
          <w:sz w:val="24"/>
          <w:szCs w:val="24"/>
        </w:rPr>
      </w:pPr>
      <w:r>
        <w:rPr>
          <w:rFonts w:ascii="Arial" w:hAnsi="Arial" w:eastAsia="Arial" w:cs="Arial"/>
          <w:color w:val="000000"/>
          <w:sz w:val="24"/>
          <w:szCs w:val="24"/>
        </w:rPr>
        <w:t>Prof. Dr. Fazlul Hasan Siddiqui  &amp;  Md. Rahad Khan</w:t>
      </w:r>
    </w:p>
    <w:p w14:paraId="2C2894CD">
      <w:pPr>
        <w:spacing w:after="300"/>
      </w:pPr>
    </w:p>
    <w:p w14:paraId="7DA642AE">
      <w:pPr>
        <w:spacing w:after="80"/>
        <w:jc w:val="center"/>
        <w:rPr>
          <w:rFonts w:hint="default"/>
          <w:lang w:val="en-GB"/>
        </w:rPr>
      </w:pPr>
      <w:r>
        <w:rPr>
          <w:rFonts w:ascii="Arial" w:hAnsi="Arial" w:eastAsia="Arial" w:cs="Arial"/>
          <w:color w:val="595959"/>
          <w:sz w:val="20"/>
          <w:szCs w:val="20"/>
        </w:rPr>
        <w:t>Digital Skills for Students Program — DUET, Gazipur  |  May 202</w:t>
      </w:r>
      <w:r>
        <w:rPr>
          <w:rFonts w:hint="default" w:cs="Arial"/>
          <w:color w:val="595959"/>
          <w:sz w:val="20"/>
          <w:szCs w:val="20"/>
          <w:lang w:val="en-GB"/>
        </w:rPr>
        <w:t>6</w:t>
      </w:r>
    </w:p>
    <w:p w14:paraId="3DFF4129">
      <w:pPr>
        <w:rPr>
          <w:rFonts w:hint="default"/>
          <w:lang w:val="en-GB"/>
        </w:rPr>
      </w:pPr>
    </w:p>
    <w:p w14:paraId="27A7C756">
      <w:pPr>
        <w:pStyle w:val="2"/>
        <w:pBdr>
          <w:bottom w:val="single" w:color="2E75B6" w:sz="4" w:space="4"/>
        </w:pBdr>
        <w:spacing w:before="480" w:after="160"/>
      </w:pPr>
      <w:r>
        <w:rPr>
          <w:rFonts w:ascii="Arial" w:hAnsi="Arial" w:eastAsia="Arial" w:cs="Arial"/>
          <w:b/>
          <w:bCs/>
          <w:color w:val="1F4E79"/>
          <w:sz w:val="28"/>
          <w:szCs w:val="28"/>
        </w:rPr>
        <w:t>Abstract</w:t>
      </w:r>
    </w:p>
    <w:p w14:paraId="17F36B1F">
      <w:pPr>
        <w:spacing w:after="120" w:line="360" w:lineRule="auto"/>
        <w:jc w:val="both"/>
      </w:pPr>
      <w:r>
        <w:rPr>
          <w:rFonts w:ascii="Arial" w:hAnsi="Arial" w:eastAsia="Arial" w:cs="Arial"/>
          <w:color w:val="595959"/>
          <w:sz w:val="22"/>
          <w:szCs w:val="22"/>
        </w:rPr>
        <w:t xml:space="preserve">Student dropout is a critical challenge facing higher education institutions worldwide. Early </w:t>
      </w:r>
      <w:bookmarkStart w:id="0" w:name="_GoBack"/>
      <w:bookmarkEnd w:id="0"/>
      <w:r>
        <w:rPr>
          <w:rFonts w:ascii="Arial" w:hAnsi="Arial" w:eastAsia="Arial" w:cs="Arial"/>
          <w:color w:val="595959"/>
          <w:sz w:val="22"/>
          <w:szCs w:val="22"/>
        </w:rPr>
        <w:t>identification of at-risk students provides educators and academic advisors with the opportunity to intervene before irreversible disengagement occurs. This report presents a complete end-to-end machine learning pipeline designed to predict the probability of student dropout using a rich dataset of academic, demographic, and socioeconomic features sourced from the UCI Machine Learning Repository.</w:t>
      </w:r>
    </w:p>
    <w:p w14:paraId="3D20C395">
      <w:pPr>
        <w:spacing w:after="120" w:line="360" w:lineRule="auto"/>
        <w:jc w:val="both"/>
      </w:pPr>
      <w:r>
        <w:rPr>
          <w:rFonts w:ascii="Arial" w:hAnsi="Arial" w:eastAsia="Arial" w:cs="Arial"/>
          <w:color w:val="595959"/>
          <w:sz w:val="22"/>
          <w:szCs w:val="22"/>
        </w:rPr>
        <w:t>The pipeline encompasses exploratory data analysis (EDA), data preprocessing, multi-model training with stratified cross-validation, rigorous evaluation across five metrics, and deployment of an interactive web-based GUI built with Streamlit. Three classifiers were trained and compared: Logistic Regression, Decision Tree, and Random Forest. The Random Forest model achieved 88.93% accuracy, F1-score of 0.8205, and AUC-ROC of 0.9324 on the held-out test set. The GUI enables academic advisors to enter a student profile and receive an instant dropout risk percentage, a colour-coded risk badge, and the top contributing risk factors.</w:t>
      </w:r>
    </w:p>
    <w:p w14:paraId="0FC4C6B7">
      <w:pPr>
        <w:pStyle w:val="2"/>
        <w:pBdr>
          <w:bottom w:val="single" w:color="2E75B6" w:sz="4" w:space="4"/>
        </w:pBdr>
        <w:spacing w:before="480" w:after="160"/>
      </w:pPr>
      <w:r>
        <w:rPr>
          <w:rFonts w:ascii="Arial" w:hAnsi="Arial" w:eastAsia="Arial" w:cs="Arial"/>
          <w:b/>
          <w:bCs/>
          <w:color w:val="1F4E79"/>
          <w:sz w:val="28"/>
          <w:szCs w:val="28"/>
        </w:rPr>
        <w:t>1. Introduction</w:t>
      </w:r>
    </w:p>
    <w:p w14:paraId="69CB3264">
      <w:pPr>
        <w:spacing w:after="120" w:line="360" w:lineRule="auto"/>
        <w:jc w:val="both"/>
      </w:pPr>
      <w:r>
        <w:rPr>
          <w:rFonts w:ascii="Arial" w:hAnsi="Arial" w:eastAsia="Arial" w:cs="Arial"/>
          <w:color w:val="595959"/>
          <w:sz w:val="22"/>
          <w:szCs w:val="22"/>
        </w:rPr>
        <w:t>Dropout from higher education imposes significant costs on students, institutions, and society. Students who abandon their studies suffer career setbacks and financial losses, while institutions lose tuition revenue and face reputational damage. According to UNESCO, dropout rates in many developing countries exceed 30%, underscoring the urgency of systematic early-warning systems.</w:t>
      </w:r>
    </w:p>
    <w:p w14:paraId="5746E4AF">
      <w:pPr>
        <w:spacing w:after="120" w:line="360" w:lineRule="auto"/>
        <w:jc w:val="both"/>
      </w:pPr>
      <w:r>
        <w:rPr>
          <w:rFonts w:ascii="Arial" w:hAnsi="Arial" w:eastAsia="Arial" w:cs="Arial"/>
          <w:color w:val="595959"/>
          <w:sz w:val="22"/>
          <w:szCs w:val="22"/>
        </w:rPr>
        <w:t>Traditional retention strategies rely on reactive measures — advisors often become aware of a student's difficulties only after the situation has deteriorated. Machine learning offers a proactive alternative: by identifying latent patterns in historical student data, predictive models can flag at-risk students weeks or even semesters before they formally disengage.</w:t>
      </w:r>
    </w:p>
    <w:p w14:paraId="31CA5F9E">
      <w:pPr>
        <w:spacing w:after="120" w:line="360" w:lineRule="auto"/>
        <w:jc w:val="both"/>
      </w:pPr>
      <w:r>
        <w:rPr>
          <w:rFonts w:ascii="Arial" w:hAnsi="Arial" w:eastAsia="Arial" w:cs="Arial"/>
          <w:color w:val="595959"/>
          <w:sz w:val="22"/>
          <w:szCs w:val="22"/>
        </w:rPr>
        <w:t>This project, undertaken as part of the Applied Machine Learning component of the EDGE Digital Skills for Students Programme at DUET, Gazipur, builds a complete ML pipeline and interactive GUI to support student retention efforts. The objectives are:</w:t>
      </w:r>
    </w:p>
    <w:p w14:paraId="3F591EFF">
      <w:pPr>
        <w:pStyle w:val="17"/>
        <w:numPr>
          <w:ilvl w:val="0"/>
          <w:numId w:val="1"/>
        </w:numPr>
        <w:spacing w:after="80" w:line="340" w:lineRule="auto"/>
      </w:pPr>
      <w:r>
        <w:rPr>
          <w:rFonts w:ascii="Arial" w:hAnsi="Arial" w:eastAsia="Arial" w:cs="Arial"/>
          <w:color w:val="595959"/>
          <w:sz w:val="22"/>
          <w:szCs w:val="22"/>
        </w:rPr>
        <w:t>Perform exploratory data analysis (EDA) to uncover key predictors of dropout.</w:t>
      </w:r>
    </w:p>
    <w:p w14:paraId="28506383">
      <w:pPr>
        <w:pStyle w:val="17"/>
        <w:numPr>
          <w:ilvl w:val="0"/>
          <w:numId w:val="1"/>
        </w:numPr>
        <w:spacing w:after="80" w:line="340" w:lineRule="auto"/>
      </w:pPr>
      <w:r>
        <w:rPr>
          <w:rFonts w:ascii="Arial" w:hAnsi="Arial" w:eastAsia="Arial" w:cs="Arial"/>
          <w:color w:val="595959"/>
          <w:sz w:val="22"/>
          <w:szCs w:val="22"/>
        </w:rPr>
        <w:t>Preprocess the dataset: handle missing values, encode categorical features, and apply feature scaling.</w:t>
      </w:r>
    </w:p>
    <w:p w14:paraId="3552B04E">
      <w:pPr>
        <w:pStyle w:val="17"/>
        <w:numPr>
          <w:ilvl w:val="0"/>
          <w:numId w:val="1"/>
        </w:numPr>
        <w:spacing w:after="80" w:line="340" w:lineRule="auto"/>
      </w:pPr>
      <w:r>
        <w:rPr>
          <w:rFonts w:ascii="Arial" w:hAnsi="Arial" w:eastAsia="Arial" w:cs="Arial"/>
          <w:color w:val="595959"/>
          <w:sz w:val="22"/>
          <w:szCs w:val="22"/>
        </w:rPr>
        <w:t>Train and compare three classifiers — Logistic Regression, Decision Tree, and Random Forest — using 5-fold stratified cross-validation.</w:t>
      </w:r>
    </w:p>
    <w:p w14:paraId="04043AFE">
      <w:pPr>
        <w:pStyle w:val="17"/>
        <w:numPr>
          <w:ilvl w:val="0"/>
          <w:numId w:val="1"/>
        </w:numPr>
        <w:spacing w:after="80" w:line="340" w:lineRule="auto"/>
      </w:pPr>
      <w:r>
        <w:rPr>
          <w:rFonts w:ascii="Arial" w:hAnsi="Arial" w:eastAsia="Arial" w:cs="Arial"/>
          <w:color w:val="595959"/>
          <w:sz w:val="22"/>
          <w:szCs w:val="22"/>
        </w:rPr>
        <w:t>Evaluate models using Accuracy, Precision, Recall, F1-Score, and AUC-ROC.</w:t>
      </w:r>
    </w:p>
    <w:p w14:paraId="1B9D123D">
      <w:pPr>
        <w:pStyle w:val="17"/>
        <w:numPr>
          <w:ilvl w:val="0"/>
          <w:numId w:val="1"/>
        </w:numPr>
        <w:spacing w:after="80" w:line="340" w:lineRule="auto"/>
      </w:pPr>
      <w:r>
        <w:rPr>
          <w:rFonts w:ascii="Arial" w:hAnsi="Arial" w:eastAsia="Arial" w:cs="Arial"/>
          <w:color w:val="595959"/>
          <w:sz w:val="22"/>
          <w:szCs w:val="22"/>
        </w:rPr>
        <w:t>Deploy a user-friendly Streamlit GUI outputting a risk score, risk badge, and top contributing features.</w:t>
      </w:r>
    </w:p>
    <w:p w14:paraId="43168F36">
      <w:pPr>
        <w:pStyle w:val="2"/>
        <w:pBdr>
          <w:bottom w:val="single" w:color="2E75B6" w:sz="4" w:space="4"/>
        </w:pBdr>
        <w:spacing w:before="480" w:after="160"/>
      </w:pPr>
      <w:r>
        <w:rPr>
          <w:rFonts w:ascii="Arial" w:hAnsi="Arial" w:eastAsia="Arial" w:cs="Arial"/>
          <w:b/>
          <w:bCs/>
          <w:color w:val="1F4E79"/>
          <w:sz w:val="28"/>
          <w:szCs w:val="28"/>
        </w:rPr>
        <w:t>2. Dataset Description</w:t>
      </w:r>
    </w:p>
    <w:p w14:paraId="1FCBDDED">
      <w:pPr>
        <w:pStyle w:val="3"/>
        <w:spacing w:before="320" w:after="160"/>
      </w:pPr>
      <w:r>
        <w:rPr>
          <w:rFonts w:ascii="Arial" w:hAnsi="Arial" w:eastAsia="Arial" w:cs="Arial"/>
          <w:b/>
          <w:bCs/>
          <w:color w:val="2E75B6"/>
          <w:sz w:val="24"/>
          <w:szCs w:val="24"/>
        </w:rPr>
        <w:t>2.1 Source and Overview</w:t>
      </w:r>
    </w:p>
    <w:p w14:paraId="67B68893">
      <w:pPr>
        <w:spacing w:after="120" w:line="360" w:lineRule="auto"/>
        <w:jc w:val="both"/>
      </w:pPr>
      <w:r>
        <w:rPr>
          <w:rFonts w:ascii="Arial" w:hAnsi="Arial" w:eastAsia="Arial" w:cs="Arial"/>
          <w:color w:val="595959"/>
          <w:sz w:val="22"/>
          <w:szCs w:val="22"/>
        </w:rPr>
        <w:t>The dataset used is the Predict Students' Dropout and Academic Success dataset published by Martins et al. (2021), hosted on the UCI Machine Learning Repository. It records information at enrolment and at the end of the first and second semesters for students in various undergraduate programmes at a Portuguese higher education institution.</w:t>
      </w:r>
    </w:p>
    <w:p w14:paraId="3B38FBE0">
      <w:pPr>
        <w:spacing w:after="120"/>
      </w:pPr>
    </w:p>
    <w:tbl>
      <w:tblPr>
        <w:tblStyle w:val="9"/>
        <w:tblW w:w="91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560"/>
      </w:tblGrid>
      <w:tr w14:paraId="53353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40" w:type="dxa"/>
              <w:bottom w:w="80" w:type="dxa"/>
              <w:right w:w="140" w:type="dxa"/>
            </w:tcMar>
            <w:vAlign w:val="center"/>
          </w:tcPr>
          <w:p w14:paraId="5438157C">
            <w:pPr>
              <w:jc w:val="left"/>
            </w:pPr>
            <w:r>
              <w:rPr>
                <w:rFonts w:ascii="Arial" w:hAnsi="Arial" w:eastAsia="Arial" w:cs="Arial"/>
                <w:b/>
                <w:bCs/>
                <w:color w:val="1F4E79"/>
                <w:sz w:val="20"/>
                <w:szCs w:val="20"/>
              </w:rPr>
              <w:t>Attribute</w:t>
            </w:r>
          </w:p>
        </w:tc>
        <w:tc>
          <w:tcPr>
            <w:tcW w:w="556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40" w:type="dxa"/>
              <w:bottom w:w="80" w:type="dxa"/>
              <w:right w:w="140" w:type="dxa"/>
            </w:tcMar>
            <w:vAlign w:val="center"/>
          </w:tcPr>
          <w:p w14:paraId="4D31B8C9">
            <w:pPr>
              <w:jc w:val="left"/>
            </w:pPr>
            <w:r>
              <w:rPr>
                <w:rFonts w:ascii="Arial" w:hAnsi="Arial" w:eastAsia="Arial" w:cs="Arial"/>
                <w:b/>
                <w:bCs/>
                <w:color w:val="1F4E79"/>
                <w:sz w:val="20"/>
                <w:szCs w:val="20"/>
              </w:rPr>
              <w:t>Value</w:t>
            </w:r>
          </w:p>
        </w:tc>
      </w:tr>
      <w:tr w14:paraId="0D60B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67C0F8B5">
            <w:pPr>
              <w:jc w:val="left"/>
            </w:pPr>
            <w:r>
              <w:rPr>
                <w:rFonts w:ascii="Arial" w:hAnsi="Arial" w:eastAsia="Arial" w:cs="Arial"/>
                <w:b w:val="0"/>
                <w:bCs w:val="0"/>
                <w:color w:val="000000"/>
                <w:sz w:val="20"/>
                <w:szCs w:val="20"/>
              </w:rPr>
              <w:t>Source</w:t>
            </w:r>
          </w:p>
        </w:tc>
        <w:tc>
          <w:tcPr>
            <w:tcW w:w="556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6895D53E">
            <w:pPr>
              <w:jc w:val="left"/>
            </w:pPr>
            <w:r>
              <w:rPr>
                <w:rFonts w:ascii="Arial" w:hAnsi="Arial" w:eastAsia="Arial" w:cs="Arial"/>
                <w:b w:val="0"/>
                <w:bCs w:val="0"/>
                <w:color w:val="000000"/>
                <w:sz w:val="20"/>
                <w:szCs w:val="20"/>
              </w:rPr>
              <w:t>UCI ML Repository — Predict Students' Dropout and Academic Success</w:t>
            </w:r>
          </w:p>
        </w:tc>
      </w:tr>
      <w:tr w14:paraId="1EE1E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28C9B55A">
            <w:pPr>
              <w:jc w:val="left"/>
            </w:pPr>
            <w:r>
              <w:rPr>
                <w:rFonts w:ascii="Arial" w:hAnsi="Arial" w:eastAsia="Arial" w:cs="Arial"/>
                <w:b w:val="0"/>
                <w:bCs w:val="0"/>
                <w:color w:val="000000"/>
                <w:sz w:val="20"/>
                <w:szCs w:val="20"/>
              </w:rPr>
              <w:t>Total Records</w:t>
            </w:r>
          </w:p>
        </w:tc>
        <w:tc>
          <w:tcPr>
            <w:tcW w:w="556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5F5B070E">
            <w:pPr>
              <w:jc w:val="left"/>
            </w:pPr>
            <w:r>
              <w:rPr>
                <w:rFonts w:ascii="Arial" w:hAnsi="Arial" w:eastAsia="Arial" w:cs="Arial"/>
                <w:b w:val="0"/>
                <w:bCs w:val="0"/>
                <w:color w:val="000000"/>
                <w:sz w:val="20"/>
                <w:szCs w:val="20"/>
              </w:rPr>
              <w:t>4,424 students</w:t>
            </w:r>
          </w:p>
        </w:tc>
      </w:tr>
      <w:tr w14:paraId="6EC22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770ED0B1">
            <w:pPr>
              <w:jc w:val="left"/>
            </w:pPr>
            <w:r>
              <w:rPr>
                <w:rFonts w:ascii="Arial" w:hAnsi="Arial" w:eastAsia="Arial" w:cs="Arial"/>
                <w:b w:val="0"/>
                <w:bCs w:val="0"/>
                <w:color w:val="000000"/>
                <w:sz w:val="20"/>
                <w:szCs w:val="20"/>
              </w:rPr>
              <w:t>Total Features</w:t>
            </w:r>
          </w:p>
        </w:tc>
        <w:tc>
          <w:tcPr>
            <w:tcW w:w="556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61D81DCF">
            <w:pPr>
              <w:jc w:val="left"/>
            </w:pPr>
            <w:r>
              <w:rPr>
                <w:rFonts w:ascii="Arial" w:hAnsi="Arial" w:eastAsia="Arial" w:cs="Arial"/>
                <w:b w:val="0"/>
                <w:bCs w:val="0"/>
                <w:color w:val="000000"/>
                <w:sz w:val="20"/>
                <w:szCs w:val="20"/>
              </w:rPr>
              <w:t>36 input features (demographic, academic, socioeconomic)</w:t>
            </w:r>
          </w:p>
        </w:tc>
      </w:tr>
      <w:tr w14:paraId="017D5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082B1447">
            <w:pPr>
              <w:jc w:val="left"/>
            </w:pPr>
            <w:r>
              <w:rPr>
                <w:rFonts w:ascii="Arial" w:hAnsi="Arial" w:eastAsia="Arial" w:cs="Arial"/>
                <w:b w:val="0"/>
                <w:bCs w:val="0"/>
                <w:color w:val="000000"/>
                <w:sz w:val="20"/>
                <w:szCs w:val="20"/>
              </w:rPr>
              <w:t>Target Classes</w:t>
            </w:r>
          </w:p>
        </w:tc>
        <w:tc>
          <w:tcPr>
            <w:tcW w:w="556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7213E10E">
            <w:pPr>
              <w:jc w:val="left"/>
            </w:pPr>
            <w:r>
              <w:rPr>
                <w:rFonts w:ascii="Arial" w:hAnsi="Arial" w:eastAsia="Arial" w:cs="Arial"/>
                <w:b w:val="0"/>
                <w:bCs w:val="0"/>
                <w:color w:val="000000"/>
                <w:sz w:val="20"/>
                <w:szCs w:val="20"/>
              </w:rPr>
              <w:t>Graduate (2,209 | 49.9%), Dropout (1,421 | 32.1%), Enrolled (794 | 17.9%)</w:t>
            </w:r>
          </w:p>
        </w:tc>
      </w:tr>
      <w:tr w14:paraId="05FA8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3364A9D8">
            <w:pPr>
              <w:jc w:val="left"/>
            </w:pPr>
            <w:r>
              <w:rPr>
                <w:rFonts w:ascii="Arial" w:hAnsi="Arial" w:eastAsia="Arial" w:cs="Arial"/>
                <w:b w:val="0"/>
                <w:bCs w:val="0"/>
                <w:color w:val="000000"/>
                <w:sz w:val="20"/>
                <w:szCs w:val="20"/>
              </w:rPr>
              <w:t>Missing Values</w:t>
            </w:r>
          </w:p>
        </w:tc>
        <w:tc>
          <w:tcPr>
            <w:tcW w:w="556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18280A6E">
            <w:pPr>
              <w:jc w:val="left"/>
            </w:pPr>
            <w:r>
              <w:rPr>
                <w:rFonts w:ascii="Arial" w:hAnsi="Arial" w:eastAsia="Arial" w:cs="Arial"/>
                <w:b w:val="0"/>
                <w:bCs w:val="0"/>
                <w:color w:val="000000"/>
                <w:sz w:val="20"/>
                <w:szCs w:val="20"/>
              </w:rPr>
              <w:t>None — dataset is complete</w:t>
            </w:r>
          </w:p>
        </w:tc>
      </w:tr>
      <w:tr w14:paraId="6DC2B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56366ECE">
            <w:pPr>
              <w:jc w:val="left"/>
            </w:pPr>
            <w:r>
              <w:rPr>
                <w:rFonts w:ascii="Arial" w:hAnsi="Arial" w:eastAsia="Arial" w:cs="Arial"/>
                <w:b w:val="0"/>
                <w:bCs w:val="0"/>
                <w:color w:val="000000"/>
                <w:sz w:val="20"/>
                <w:szCs w:val="20"/>
              </w:rPr>
              <w:t>Binary Classification</w:t>
            </w:r>
          </w:p>
        </w:tc>
        <w:tc>
          <w:tcPr>
            <w:tcW w:w="556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5AC80887">
            <w:pPr>
              <w:jc w:val="left"/>
            </w:pPr>
            <w:r>
              <w:rPr>
                <w:rFonts w:ascii="Arial" w:hAnsi="Arial" w:eastAsia="Arial" w:cs="Arial"/>
                <w:b w:val="0"/>
                <w:bCs w:val="0"/>
                <w:color w:val="000000"/>
                <w:sz w:val="20"/>
                <w:szCs w:val="20"/>
              </w:rPr>
              <w:t>Dropout (positive) vs. Non-dropout (Graduate + Enrolled)</w:t>
            </w:r>
          </w:p>
        </w:tc>
      </w:tr>
      <w:tr w14:paraId="0BBA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2664616A">
            <w:pPr>
              <w:jc w:val="left"/>
            </w:pPr>
            <w:r>
              <w:rPr>
                <w:rFonts w:ascii="Arial" w:hAnsi="Arial" w:eastAsia="Arial" w:cs="Arial"/>
                <w:b w:val="0"/>
                <w:bCs w:val="0"/>
                <w:color w:val="000000"/>
                <w:sz w:val="20"/>
                <w:szCs w:val="20"/>
              </w:rPr>
              <w:t>Class Imbalance Handling</w:t>
            </w:r>
          </w:p>
        </w:tc>
        <w:tc>
          <w:tcPr>
            <w:tcW w:w="556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59D9D4A7">
            <w:pPr>
              <w:jc w:val="left"/>
            </w:pPr>
            <w:r>
              <w:rPr>
                <w:rFonts w:ascii="Arial" w:hAnsi="Arial" w:eastAsia="Arial" w:cs="Arial"/>
                <w:b w:val="0"/>
                <w:bCs w:val="0"/>
                <w:color w:val="000000"/>
                <w:sz w:val="20"/>
                <w:szCs w:val="20"/>
              </w:rPr>
              <w:t>SMOTE applied within each training fold</w:t>
            </w:r>
          </w:p>
        </w:tc>
      </w:tr>
      <w:tr w14:paraId="36258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584A17AF">
            <w:pPr>
              <w:jc w:val="left"/>
            </w:pPr>
            <w:r>
              <w:rPr>
                <w:rFonts w:ascii="Arial" w:hAnsi="Arial" w:eastAsia="Arial" w:cs="Arial"/>
                <w:b w:val="0"/>
                <w:bCs w:val="0"/>
                <w:color w:val="000000"/>
                <w:sz w:val="20"/>
                <w:szCs w:val="20"/>
              </w:rPr>
              <w:t>Train / Test Split</w:t>
            </w:r>
          </w:p>
        </w:tc>
        <w:tc>
          <w:tcPr>
            <w:tcW w:w="556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261ECF34">
            <w:pPr>
              <w:jc w:val="left"/>
            </w:pPr>
            <w:r>
              <w:rPr>
                <w:rFonts w:ascii="Arial" w:hAnsi="Arial" w:eastAsia="Arial" w:cs="Arial"/>
                <w:b w:val="0"/>
                <w:bCs w:val="0"/>
                <w:color w:val="000000"/>
                <w:sz w:val="20"/>
                <w:szCs w:val="20"/>
              </w:rPr>
              <w:t>80% training (3,539) / 20% test (885) with stratified sampling</w:t>
            </w:r>
          </w:p>
        </w:tc>
      </w:tr>
    </w:tbl>
    <w:p w14:paraId="51C79228">
      <w:pPr>
        <w:spacing w:after="160"/>
      </w:pPr>
    </w:p>
    <w:p w14:paraId="6FF08666">
      <w:pPr>
        <w:pStyle w:val="3"/>
        <w:spacing w:before="320" w:after="160"/>
      </w:pPr>
      <w:r>
        <w:rPr>
          <w:rFonts w:ascii="Arial" w:hAnsi="Arial" w:eastAsia="Arial" w:cs="Arial"/>
          <w:b/>
          <w:bCs/>
          <w:color w:val="2E75B6"/>
          <w:sz w:val="24"/>
          <w:szCs w:val="24"/>
        </w:rPr>
        <w:t>2.2 Class Distribution (EDA — Figure 1)</w:t>
      </w:r>
    </w:p>
    <w:p w14:paraId="3F9E081F">
      <w:pPr>
        <w:spacing w:after="120" w:line="360" w:lineRule="auto"/>
        <w:jc w:val="both"/>
      </w:pPr>
      <w:r>
        <w:rPr>
          <w:rFonts w:ascii="Arial" w:hAnsi="Arial" w:eastAsia="Arial" w:cs="Arial"/>
          <w:color w:val="595959"/>
          <w:sz w:val="22"/>
          <w:szCs w:val="22"/>
        </w:rPr>
        <w:t>Figure 1 shows the original three-class target distribution and the derived binary labels. The class imbalance ratio (Non-Dropout : Dropout) is approximately 2.11:1, necessitating SMOTE during training to prevent the classifier from being biased toward the majority class.</w:t>
      </w:r>
    </w:p>
    <w:p w14:paraId="1D15471F">
      <w:pPr>
        <w:spacing w:after="100"/>
      </w:pPr>
    </w:p>
    <w:p w14:paraId="07685DAB">
      <w:pPr>
        <w:spacing w:after="60"/>
        <w:jc w:val="center"/>
      </w:pPr>
      <w:r>
        <w:drawing>
          <wp:inline distT="0" distB="0" distL="0" distR="0">
            <wp:extent cx="6261735" cy="2298065"/>
            <wp:effectExtent l="0" t="0" r="571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6261735" cy="2298065"/>
                    </a:xfrm>
                    <a:prstGeom prst="rect">
                      <a:avLst/>
                    </a:prstGeom>
                  </pic:spPr>
                </pic:pic>
              </a:graphicData>
            </a:graphic>
          </wp:inline>
        </w:drawing>
      </w:r>
    </w:p>
    <w:p w14:paraId="3A9ED414">
      <w:pPr>
        <w:spacing w:after="200"/>
        <w:jc w:val="center"/>
      </w:pPr>
      <w:r>
        <w:rPr>
          <w:rFonts w:ascii="Arial" w:hAnsi="Arial" w:eastAsia="Arial" w:cs="Arial"/>
          <w:i/>
          <w:iCs/>
          <w:color w:val="595959"/>
          <w:sz w:val="18"/>
          <w:szCs w:val="18"/>
        </w:rPr>
        <w:t>Figure 1. Original target distribution (left), binary target distribution (centre), and class proportion pie chart (right).</w:t>
      </w:r>
    </w:p>
    <w:p w14:paraId="3CE50F65">
      <w:pPr>
        <w:pStyle w:val="3"/>
        <w:spacing w:before="320" w:after="160"/>
      </w:pPr>
      <w:r>
        <w:rPr>
          <w:rFonts w:ascii="Arial" w:hAnsi="Arial" w:eastAsia="Arial" w:cs="Arial"/>
          <w:b/>
          <w:bCs/>
          <w:color w:val="2E75B6"/>
          <w:sz w:val="24"/>
          <w:szCs w:val="24"/>
        </w:rPr>
        <w:t>2.3 Feature Categories</w:t>
      </w:r>
    </w:p>
    <w:p w14:paraId="74349480">
      <w:pPr>
        <w:spacing w:after="120" w:line="360" w:lineRule="auto"/>
        <w:jc w:val="both"/>
      </w:pPr>
      <w:r>
        <w:rPr>
          <w:rFonts w:ascii="Arial" w:hAnsi="Arial" w:eastAsia="Arial" w:cs="Arial"/>
          <w:color w:val="595959"/>
          <w:sz w:val="22"/>
          <w:szCs w:val="22"/>
        </w:rPr>
        <w:t>The 36 input features fall into four groups:</w:t>
      </w:r>
    </w:p>
    <w:p w14:paraId="21B3D626">
      <w:pPr>
        <w:pStyle w:val="17"/>
        <w:numPr>
          <w:ilvl w:val="0"/>
          <w:numId w:val="1"/>
        </w:numPr>
        <w:spacing w:after="80" w:line="340" w:lineRule="auto"/>
      </w:pPr>
      <w:r>
        <w:rPr>
          <w:rFonts w:ascii="Arial" w:hAnsi="Arial" w:eastAsia="Arial" w:cs="Arial"/>
          <w:color w:val="595959"/>
          <w:sz w:val="22"/>
          <w:szCs w:val="22"/>
        </w:rPr>
        <w:t>Personal and Demographic: Marital status, gender, age at enrolment, nationality, displaced status, international student flag.</w:t>
      </w:r>
    </w:p>
    <w:p w14:paraId="70871665">
      <w:pPr>
        <w:pStyle w:val="17"/>
        <w:numPr>
          <w:ilvl w:val="0"/>
          <w:numId w:val="1"/>
        </w:numPr>
        <w:spacing w:after="80" w:line="340" w:lineRule="auto"/>
      </w:pPr>
      <w:r>
        <w:rPr>
          <w:rFonts w:ascii="Arial" w:hAnsi="Arial" w:eastAsia="Arial" w:cs="Arial"/>
          <w:color w:val="595959"/>
          <w:sz w:val="22"/>
          <w:szCs w:val="22"/>
        </w:rPr>
        <w:t>Academic Background: Application mode, application order, course, attendance type, previous qualification type and grade, admission grade.</w:t>
      </w:r>
    </w:p>
    <w:p w14:paraId="4654D2A0">
      <w:pPr>
        <w:pStyle w:val="17"/>
        <w:numPr>
          <w:ilvl w:val="0"/>
          <w:numId w:val="1"/>
        </w:numPr>
        <w:spacing w:after="80" w:line="340" w:lineRule="auto"/>
      </w:pPr>
      <w:r>
        <w:rPr>
          <w:rFonts w:ascii="Arial" w:hAnsi="Arial" w:eastAsia="Arial" w:cs="Arial"/>
          <w:color w:val="595959"/>
          <w:sz w:val="22"/>
          <w:szCs w:val="22"/>
        </w:rPr>
        <w:t>Family Socioeconomic Context: Mother's and father's qualification levels and occupation codes.</w:t>
      </w:r>
    </w:p>
    <w:p w14:paraId="23AF1ED5">
      <w:pPr>
        <w:pStyle w:val="17"/>
        <w:numPr>
          <w:ilvl w:val="0"/>
          <w:numId w:val="1"/>
        </w:numPr>
        <w:spacing w:after="80" w:line="340" w:lineRule="auto"/>
      </w:pPr>
      <w:r>
        <w:rPr>
          <w:rFonts w:ascii="Arial" w:hAnsi="Arial" w:eastAsia="Arial" w:cs="Arial"/>
          <w:color w:val="595959"/>
          <w:sz w:val="22"/>
          <w:szCs w:val="22"/>
        </w:rPr>
        <w:t>In-Programme Performance (most predictive): Curricular units credited, enrolled, evaluated, approved, and graded for both semesters.</w:t>
      </w:r>
    </w:p>
    <w:p w14:paraId="49F39112">
      <w:pPr>
        <w:pStyle w:val="17"/>
        <w:numPr>
          <w:ilvl w:val="0"/>
          <w:numId w:val="1"/>
        </w:numPr>
        <w:spacing w:after="80" w:line="340" w:lineRule="auto"/>
      </w:pPr>
      <w:r>
        <w:rPr>
          <w:rFonts w:ascii="Arial" w:hAnsi="Arial" w:eastAsia="Arial" w:cs="Arial"/>
          <w:color w:val="595959"/>
          <w:sz w:val="22"/>
          <w:szCs w:val="22"/>
        </w:rPr>
        <w:t>Financial and Economic: Scholarship holder, tuition fees up to date, debtor status, unemployment rate, inflation rate, GDP growth.</w:t>
      </w:r>
    </w:p>
    <w:p w14:paraId="185DEE44">
      <w:pPr>
        <w:pStyle w:val="2"/>
        <w:pBdr>
          <w:bottom w:val="single" w:color="2E75B6" w:sz="4" w:space="4"/>
        </w:pBdr>
        <w:spacing w:before="480" w:after="160"/>
      </w:pPr>
      <w:r>
        <w:rPr>
          <w:rFonts w:ascii="Arial" w:hAnsi="Arial" w:eastAsia="Arial" w:cs="Arial"/>
          <w:b/>
          <w:bCs/>
          <w:color w:val="1F4E79"/>
          <w:sz w:val="28"/>
          <w:szCs w:val="28"/>
        </w:rPr>
        <w:t>3. Exploratory Data Analysis</w:t>
      </w:r>
    </w:p>
    <w:p w14:paraId="0F8A2DB3">
      <w:pPr>
        <w:pStyle w:val="3"/>
        <w:spacing w:before="320" w:after="160"/>
      </w:pPr>
      <w:r>
        <w:rPr>
          <w:rFonts w:ascii="Arial" w:hAnsi="Arial" w:eastAsia="Arial" w:cs="Arial"/>
          <w:b/>
          <w:bCs/>
          <w:color w:val="2E75B6"/>
          <w:sz w:val="24"/>
          <w:szCs w:val="24"/>
        </w:rPr>
        <w:t>3.1 Correlation Heatmap (Figure 2)</w:t>
      </w:r>
    </w:p>
    <w:p w14:paraId="32EC3292">
      <w:pPr>
        <w:spacing w:after="120" w:line="360" w:lineRule="auto"/>
        <w:jc w:val="both"/>
      </w:pPr>
      <w:r>
        <w:rPr>
          <w:rFonts w:ascii="Arial" w:hAnsi="Arial" w:eastAsia="Arial" w:cs="Arial"/>
          <w:color w:val="595959"/>
          <w:sz w:val="22"/>
          <w:szCs w:val="22"/>
        </w:rPr>
        <w:t>Figure 2 shows the correlation matrix across all 36 numerical features. The most notable clusters are within the first-semester and second-semester curricular unit variables, which are strongly intercorrelated. Notably, first- and second-semester unit counts are highly collinear (|r| &gt; 0.8), consistent with students who enrol in similar loads across semesters. No feature-to-target correlations are shown here since the target is binary, but EDA on boxplots (Figure 3) reveals clear group separations.</w:t>
      </w:r>
    </w:p>
    <w:p w14:paraId="644B0880">
      <w:pPr>
        <w:spacing w:after="100"/>
      </w:pPr>
    </w:p>
    <w:p w14:paraId="1C9A568C">
      <w:pPr>
        <w:spacing w:after="60"/>
        <w:jc w:val="center"/>
      </w:pPr>
      <w:r>
        <w:drawing>
          <wp:inline distT="0" distB="0" distL="0" distR="0">
            <wp:extent cx="6545580" cy="5235575"/>
            <wp:effectExtent l="0" t="0" r="762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6545580" cy="5235575"/>
                    </a:xfrm>
                    <a:prstGeom prst="rect">
                      <a:avLst/>
                    </a:prstGeom>
                  </pic:spPr>
                </pic:pic>
              </a:graphicData>
            </a:graphic>
          </wp:inline>
        </w:drawing>
      </w:r>
    </w:p>
    <w:p w14:paraId="6B2F2755">
      <w:pPr>
        <w:spacing w:after="200"/>
        <w:jc w:val="center"/>
      </w:pPr>
      <w:r>
        <w:rPr>
          <w:rFonts w:ascii="Arial" w:hAnsi="Arial" w:eastAsia="Arial" w:cs="Arial"/>
          <w:i/>
          <w:iCs/>
          <w:color w:val="595959"/>
          <w:sz w:val="18"/>
          <w:szCs w:val="18"/>
        </w:rPr>
        <w:t>Figure 2. Correlation heatmap of all 36 numerical features. Warm colours = positive correlation, cool colours = negative.</w:t>
      </w:r>
    </w:p>
    <w:p w14:paraId="4B6E56EE">
      <w:pPr>
        <w:pStyle w:val="3"/>
        <w:spacing w:before="320" w:after="160"/>
      </w:pPr>
      <w:r>
        <w:rPr>
          <w:rFonts w:ascii="Arial" w:hAnsi="Arial" w:eastAsia="Arial" w:cs="Arial"/>
          <w:b/>
          <w:bCs/>
          <w:color w:val="2E75B6"/>
          <w:sz w:val="24"/>
          <w:szCs w:val="24"/>
        </w:rPr>
        <w:t>3.2 Key Feature Distributions by Dropout Status (Figure 3)</w:t>
      </w:r>
    </w:p>
    <w:p w14:paraId="72816BCD">
      <w:pPr>
        <w:spacing w:after="120" w:line="360" w:lineRule="auto"/>
        <w:jc w:val="both"/>
      </w:pPr>
      <w:r>
        <w:rPr>
          <w:rFonts w:ascii="Arial" w:hAnsi="Arial" w:eastAsia="Arial" w:cs="Arial"/>
          <w:color w:val="595959"/>
          <w:sz w:val="22"/>
          <w:szCs w:val="22"/>
        </w:rPr>
        <w:t>Figure 3 presents boxplots of the nine most diagnostically important features, grouped by dropout status (0 = Non-Dropout, 1 = Dropout). Several patterns are immediately apparent:</w:t>
      </w:r>
    </w:p>
    <w:p w14:paraId="73AA64B9">
      <w:pPr>
        <w:pStyle w:val="17"/>
        <w:numPr>
          <w:ilvl w:val="0"/>
          <w:numId w:val="1"/>
        </w:numPr>
        <w:spacing w:after="80" w:line="340" w:lineRule="auto"/>
      </w:pPr>
      <w:r>
        <w:rPr>
          <w:rFonts w:ascii="Arial" w:hAnsi="Arial" w:eastAsia="Arial" w:cs="Arial"/>
          <w:color w:val="595959"/>
          <w:sz w:val="22"/>
          <w:szCs w:val="22"/>
        </w:rPr>
        <w:t>Age at enrollment: Dropout students tend to be older at enrollment, with a wider spread and higher median (~25 vs ~20 years).</w:t>
      </w:r>
    </w:p>
    <w:p w14:paraId="4A71BB25">
      <w:pPr>
        <w:pStyle w:val="17"/>
        <w:numPr>
          <w:ilvl w:val="0"/>
          <w:numId w:val="1"/>
        </w:numPr>
        <w:spacing w:after="80" w:line="340" w:lineRule="auto"/>
      </w:pPr>
      <w:r>
        <w:rPr>
          <w:rFonts w:ascii="Arial" w:hAnsi="Arial" w:eastAsia="Arial" w:cs="Arial"/>
          <w:color w:val="595959"/>
          <w:sz w:val="22"/>
          <w:szCs w:val="22"/>
        </w:rPr>
        <w:t>Admission grade &amp; Previous qualification grade: Non-dropout students show marginally higher admission grades; differences are moderate.</w:t>
      </w:r>
    </w:p>
    <w:p w14:paraId="0CE1A8FF">
      <w:pPr>
        <w:pStyle w:val="17"/>
        <w:numPr>
          <w:ilvl w:val="0"/>
          <w:numId w:val="1"/>
        </w:numPr>
        <w:spacing w:after="80" w:line="340" w:lineRule="auto"/>
      </w:pPr>
      <w:r>
        <w:rPr>
          <w:rFonts w:ascii="Arial" w:hAnsi="Arial" w:eastAsia="Arial" w:cs="Arial"/>
          <w:color w:val="595959"/>
          <w:sz w:val="22"/>
          <w:szCs w:val="22"/>
        </w:rPr>
        <w:t>Curricular units approved (1st and 2nd semester): The most visually striking separation — non-dropout students have substantially higher medians (~5–6 units approved) compared to dropout students (~1–2). Many dropout students approved zero units.</w:t>
      </w:r>
    </w:p>
    <w:p w14:paraId="04FD3B78">
      <w:pPr>
        <w:pStyle w:val="17"/>
        <w:numPr>
          <w:ilvl w:val="0"/>
          <w:numId w:val="1"/>
        </w:numPr>
        <w:spacing w:after="80" w:line="340" w:lineRule="auto"/>
      </w:pPr>
      <w:r>
        <w:rPr>
          <w:rFonts w:ascii="Arial" w:hAnsi="Arial" w:eastAsia="Arial" w:cs="Arial"/>
          <w:color w:val="595959"/>
          <w:sz w:val="22"/>
          <w:szCs w:val="22"/>
        </w:rPr>
        <w:t>Semester grades (1st and 2nd): Non-dropout students consistently score in the 12–14 range; dropout students frequently score near zero, reflecting disengagement.</w:t>
      </w:r>
    </w:p>
    <w:p w14:paraId="038956C7">
      <w:pPr>
        <w:pStyle w:val="17"/>
        <w:numPr>
          <w:ilvl w:val="0"/>
          <w:numId w:val="1"/>
        </w:numPr>
        <w:spacing w:after="80" w:line="340" w:lineRule="auto"/>
      </w:pPr>
      <w:r>
        <w:rPr>
          <w:rFonts w:ascii="Arial" w:hAnsi="Arial" w:eastAsia="Arial" w:cs="Arial"/>
          <w:color w:val="595959"/>
          <w:sz w:val="22"/>
          <w:szCs w:val="22"/>
        </w:rPr>
        <w:t>Tuition fees up to date &amp; Scholarship holder: Dropout students are far more likely to have outstanding tuition fees — a clear socioeconomic signal.</w:t>
      </w:r>
    </w:p>
    <w:p w14:paraId="67C7DEDB">
      <w:pPr>
        <w:spacing w:after="100"/>
      </w:pPr>
    </w:p>
    <w:p w14:paraId="36AC9FD1">
      <w:pPr>
        <w:spacing w:after="60"/>
        <w:jc w:val="center"/>
      </w:pPr>
      <w:r>
        <w:drawing>
          <wp:inline distT="0" distB="0" distL="0" distR="0">
            <wp:extent cx="6596380" cy="5130800"/>
            <wp:effectExtent l="0" t="0" r="1397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6596380" cy="5130800"/>
                    </a:xfrm>
                    <a:prstGeom prst="rect">
                      <a:avLst/>
                    </a:prstGeom>
                  </pic:spPr>
                </pic:pic>
              </a:graphicData>
            </a:graphic>
          </wp:inline>
        </w:drawing>
      </w:r>
    </w:p>
    <w:p w14:paraId="735B45C5">
      <w:pPr>
        <w:spacing w:after="200"/>
        <w:jc w:val="center"/>
      </w:pPr>
      <w:r>
        <w:rPr>
          <w:rFonts w:ascii="Arial" w:hAnsi="Arial" w:eastAsia="Arial" w:cs="Arial"/>
          <w:i/>
          <w:iCs/>
          <w:color w:val="595959"/>
          <w:sz w:val="18"/>
          <w:szCs w:val="18"/>
        </w:rPr>
        <w:t>Figure 3. Boxplots of 9 key features by dropout status. Orange = Dropout, Green = Non-Dropout.</w:t>
      </w:r>
    </w:p>
    <w:p w14:paraId="150EA7D8">
      <w:pPr>
        <w:pStyle w:val="2"/>
        <w:pBdr>
          <w:bottom w:val="single" w:color="2E75B6" w:sz="4" w:space="4"/>
        </w:pBdr>
        <w:spacing w:before="480" w:after="160"/>
      </w:pPr>
      <w:r>
        <w:rPr>
          <w:rFonts w:ascii="Arial" w:hAnsi="Arial" w:eastAsia="Arial" w:cs="Arial"/>
          <w:b/>
          <w:bCs/>
          <w:color w:val="1F4E79"/>
          <w:sz w:val="28"/>
          <w:szCs w:val="28"/>
        </w:rPr>
        <w:t>4. Data Preprocessing</w:t>
      </w:r>
    </w:p>
    <w:p w14:paraId="45FF2CCE">
      <w:pPr>
        <w:pStyle w:val="3"/>
        <w:spacing w:before="320" w:after="160"/>
      </w:pPr>
      <w:r>
        <w:rPr>
          <w:rFonts w:ascii="Arial" w:hAnsi="Arial" w:eastAsia="Arial" w:cs="Arial"/>
          <w:b/>
          <w:bCs/>
          <w:color w:val="2E75B6"/>
          <w:sz w:val="24"/>
          <w:szCs w:val="24"/>
        </w:rPr>
        <w:t>4.1 Missing Value Handling</w:t>
      </w:r>
    </w:p>
    <w:p w14:paraId="51AD6D27">
      <w:pPr>
        <w:spacing w:after="120" w:line="360" w:lineRule="auto"/>
        <w:jc w:val="both"/>
      </w:pPr>
      <w:r>
        <w:rPr>
          <w:rFonts w:ascii="Arial" w:hAnsi="Arial" w:eastAsia="Arial" w:cs="Arial"/>
          <w:color w:val="595959"/>
          <w:sz w:val="22"/>
          <w:szCs w:val="22"/>
        </w:rPr>
        <w:t>A thorough audit confirmed zero missing values across all 36 features and 4,424 records. Although imputation was not required for this dataset, the pipeline included median imputation guards for numerical columns and mode imputation for categorical columns to ensure the scoring pipeline remains robust when processing new, potentially incomplete student records submitted through the GUI.</w:t>
      </w:r>
    </w:p>
    <w:p w14:paraId="5800F341">
      <w:pPr>
        <w:pStyle w:val="3"/>
        <w:spacing w:before="320" w:after="160"/>
      </w:pPr>
      <w:r>
        <w:rPr>
          <w:rFonts w:ascii="Arial" w:hAnsi="Arial" w:eastAsia="Arial" w:cs="Arial"/>
          <w:b/>
          <w:bCs/>
          <w:color w:val="2E75B6"/>
          <w:sz w:val="24"/>
          <w:szCs w:val="24"/>
        </w:rPr>
        <w:t>4.2 Encoding and Scaling</w:t>
      </w:r>
    </w:p>
    <w:p w14:paraId="6FD0B1C5">
      <w:pPr>
        <w:spacing w:after="120" w:line="360" w:lineRule="auto"/>
        <w:jc w:val="both"/>
      </w:pPr>
      <w:r>
        <w:rPr>
          <w:rFonts w:ascii="Arial" w:hAnsi="Arial" w:eastAsia="Arial" w:cs="Arial"/>
          <w:color w:val="595959"/>
          <w:sz w:val="22"/>
          <w:szCs w:val="22"/>
        </w:rPr>
        <w:t>All features are already encoded as integers or floats; no additional one-hot encoding was required. The target labels (Dropout / Graduate / Enrolled) were mapped to binary integers (1 / 0 / 0). StandardScaler was fitted exclusively on the training partition and applied consistently to validation folds and the held-out test set, preventing data leakage. The fitted scaler was serialised alongside the model in student_dropout_model.pkl.</w:t>
      </w:r>
    </w:p>
    <w:p w14:paraId="3CC7DE8F">
      <w:pPr>
        <w:pStyle w:val="3"/>
        <w:spacing w:before="320" w:after="160"/>
      </w:pPr>
      <w:r>
        <w:rPr>
          <w:rFonts w:ascii="Arial" w:hAnsi="Arial" w:eastAsia="Arial" w:cs="Arial"/>
          <w:b/>
          <w:bCs/>
          <w:color w:val="2E75B6"/>
          <w:sz w:val="24"/>
          <w:szCs w:val="24"/>
        </w:rPr>
        <w:t>4.3 Class Imbalance — SMOTE</w:t>
      </w:r>
    </w:p>
    <w:p w14:paraId="6B4DC8DC">
      <w:pPr>
        <w:spacing w:after="120" w:line="360" w:lineRule="auto"/>
        <w:jc w:val="both"/>
      </w:pPr>
      <w:r>
        <w:rPr>
          <w:rFonts w:ascii="Arial" w:hAnsi="Arial" w:eastAsia="Arial" w:cs="Arial"/>
          <w:color w:val="595959"/>
          <w:sz w:val="22"/>
          <w:szCs w:val="22"/>
        </w:rPr>
        <w:t>SMOTE (Synthetic Minority Oversampling Technique) was applied inside each cross-validation training fold only, generating synthetic Dropout samples to balance the 2.11:1 class ratio. This prevents any synthetic samples from contaminating the validation or test sets, ensuring evaluation metrics reflect true out-of-sample performance.</w:t>
      </w:r>
    </w:p>
    <w:p w14:paraId="6D9FCA8F">
      <w:pPr>
        <w:pStyle w:val="2"/>
        <w:pBdr>
          <w:bottom w:val="single" w:color="2E75B6" w:sz="4" w:space="4"/>
        </w:pBdr>
        <w:spacing w:before="480" w:after="160"/>
      </w:pPr>
      <w:r>
        <w:rPr>
          <w:rFonts w:ascii="Arial" w:hAnsi="Arial" w:eastAsia="Arial" w:cs="Arial"/>
          <w:b/>
          <w:bCs/>
          <w:color w:val="1F4E79"/>
          <w:sz w:val="28"/>
          <w:szCs w:val="28"/>
        </w:rPr>
        <w:t>5. Model Training &amp; Cross-Validation</w:t>
      </w:r>
    </w:p>
    <w:p w14:paraId="26D82DCF">
      <w:pPr>
        <w:pStyle w:val="3"/>
        <w:spacing w:before="320" w:after="160"/>
      </w:pPr>
      <w:r>
        <w:rPr>
          <w:rFonts w:ascii="Arial" w:hAnsi="Arial" w:eastAsia="Arial" w:cs="Arial"/>
          <w:b/>
          <w:bCs/>
          <w:color w:val="2E75B6"/>
          <w:sz w:val="24"/>
          <w:szCs w:val="24"/>
        </w:rPr>
        <w:t>5.1 Models</w:t>
      </w:r>
    </w:p>
    <w:p w14:paraId="167CEA7A">
      <w:pPr>
        <w:spacing w:after="120" w:line="360" w:lineRule="auto"/>
        <w:jc w:val="both"/>
      </w:pPr>
      <w:r>
        <w:rPr>
          <w:rFonts w:ascii="Arial" w:hAnsi="Arial" w:eastAsia="Arial" w:cs="Arial"/>
          <w:color w:val="595959"/>
          <w:sz w:val="22"/>
          <w:szCs w:val="22"/>
        </w:rPr>
        <w:t>Three classifiers were trained and compared: Logistic Regression (linear baseline), Decision Tree (non-linear, interpretable), and Random Forest (ensemble of 200 trees). Hyperparameters were tuned using GridSearchCV with F1 as the scoring metric.</w:t>
      </w:r>
    </w:p>
    <w:p w14:paraId="7B19C2B9">
      <w:pPr>
        <w:pStyle w:val="3"/>
        <w:spacing w:before="320" w:after="160"/>
      </w:pPr>
      <w:r>
        <w:rPr>
          <w:rFonts w:ascii="Arial" w:hAnsi="Arial" w:eastAsia="Arial" w:cs="Arial"/>
          <w:b/>
          <w:bCs/>
          <w:color w:val="2E75B6"/>
          <w:sz w:val="24"/>
          <w:szCs w:val="24"/>
        </w:rPr>
        <w:t>5.2 Cross-Validation Results (Figure 4 &amp; Table)</w:t>
      </w:r>
    </w:p>
    <w:p w14:paraId="0996B001">
      <w:pPr>
        <w:spacing w:after="120" w:line="360" w:lineRule="auto"/>
        <w:jc w:val="both"/>
      </w:pPr>
      <w:r>
        <w:rPr>
          <w:rFonts w:ascii="Arial" w:hAnsi="Arial" w:eastAsia="Arial" w:cs="Arial"/>
          <w:color w:val="595959"/>
          <w:sz w:val="22"/>
          <w:szCs w:val="22"/>
        </w:rPr>
        <w:t>Figure 4 shows the mean 5-fold cross-validation F1-scores for all three models before hyperparameter tuning. Random Forest achieves the highest mean F1 (0.8997) with the tightest confidence interval (±0.0053), indicating superior consistency across folds.</w:t>
      </w:r>
    </w:p>
    <w:p w14:paraId="7C1BB10D">
      <w:pPr>
        <w:spacing w:after="100"/>
      </w:pPr>
    </w:p>
    <w:p w14:paraId="3C6A0CBF">
      <w:pPr>
        <w:spacing w:after="60"/>
        <w:jc w:val="center"/>
      </w:pPr>
      <w:r>
        <w:drawing>
          <wp:inline distT="0" distB="0" distL="0" distR="0">
            <wp:extent cx="5981065" cy="2814955"/>
            <wp:effectExtent l="0" t="0" r="63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981065" cy="2814955"/>
                    </a:xfrm>
                    <a:prstGeom prst="rect">
                      <a:avLst/>
                    </a:prstGeom>
                  </pic:spPr>
                </pic:pic>
              </a:graphicData>
            </a:graphic>
          </wp:inline>
        </w:drawing>
      </w:r>
    </w:p>
    <w:p w14:paraId="1A42BC5A">
      <w:pPr>
        <w:spacing w:after="200"/>
        <w:jc w:val="center"/>
      </w:pPr>
      <w:r>
        <w:rPr>
          <w:rFonts w:ascii="Arial" w:hAnsi="Arial" w:eastAsia="Arial" w:cs="Arial"/>
          <w:i/>
          <w:iCs/>
          <w:color w:val="595959"/>
          <w:sz w:val="18"/>
          <w:szCs w:val="18"/>
        </w:rPr>
        <w:t>Figure 4. Baseline model performance (5-fold cross-validation F1-score). Error bars show ±1 standard deviation.</w:t>
      </w:r>
    </w:p>
    <w:p w14:paraId="3751D73F">
      <w:pPr>
        <w:spacing w:after="120"/>
      </w:pPr>
    </w:p>
    <w:p w14:paraId="10712810">
      <w:pPr>
        <w:spacing w:after="120" w:line="360" w:lineRule="auto"/>
        <w:jc w:val="both"/>
      </w:pPr>
      <w:r>
        <w:rPr>
          <w:rFonts w:ascii="Arial" w:hAnsi="Arial" w:eastAsia="Arial" w:cs="Arial"/>
          <w:color w:val="595959"/>
          <w:sz w:val="22"/>
          <w:szCs w:val="22"/>
        </w:rPr>
        <w:t>The table below shows final cross-validation results after hyperparameter tuning via GridSearchCV:</w:t>
      </w:r>
    </w:p>
    <w:p w14:paraId="15F33823">
      <w:pPr>
        <w:spacing w:after="100"/>
      </w:pPr>
    </w:p>
    <w:tbl>
      <w:tblPr>
        <w:tblStyle w:val="9"/>
        <w:tblW w:w="101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1500"/>
        <w:gridCol w:w="4660"/>
      </w:tblGrid>
      <w:tr w14:paraId="09749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40" w:type="dxa"/>
              <w:bottom w:w="80" w:type="dxa"/>
              <w:right w:w="140" w:type="dxa"/>
            </w:tcMar>
            <w:vAlign w:val="center"/>
          </w:tcPr>
          <w:p w14:paraId="0B3C640F">
            <w:pPr>
              <w:jc w:val="left"/>
            </w:pPr>
            <w:r>
              <w:rPr>
                <w:rFonts w:ascii="Arial" w:hAnsi="Arial" w:eastAsia="Arial" w:cs="Arial"/>
                <w:b/>
                <w:bCs/>
                <w:color w:val="1F4E79"/>
                <w:sz w:val="20"/>
                <w:szCs w:val="20"/>
              </w:rPr>
              <w:t>Model</w:t>
            </w:r>
          </w:p>
        </w:tc>
        <w:tc>
          <w:tcPr>
            <w:tcW w:w="18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40" w:type="dxa"/>
              <w:bottom w:w="80" w:type="dxa"/>
              <w:right w:w="140" w:type="dxa"/>
            </w:tcMar>
            <w:vAlign w:val="center"/>
          </w:tcPr>
          <w:p w14:paraId="233F4297">
            <w:pPr>
              <w:jc w:val="left"/>
            </w:pPr>
            <w:r>
              <w:rPr>
                <w:rFonts w:ascii="Arial" w:hAnsi="Arial" w:eastAsia="Arial" w:cs="Arial"/>
                <w:b/>
                <w:bCs/>
                <w:color w:val="1F4E79"/>
                <w:sz w:val="20"/>
                <w:szCs w:val="20"/>
              </w:rPr>
              <w:t>CV Mean F1</w:t>
            </w:r>
          </w:p>
        </w:tc>
        <w:tc>
          <w:tcPr>
            <w:tcW w:w="15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40" w:type="dxa"/>
              <w:bottom w:w="80" w:type="dxa"/>
              <w:right w:w="140" w:type="dxa"/>
            </w:tcMar>
            <w:vAlign w:val="center"/>
          </w:tcPr>
          <w:p w14:paraId="5122CF45">
            <w:pPr>
              <w:jc w:val="left"/>
            </w:pPr>
            <w:r>
              <w:rPr>
                <w:rFonts w:ascii="Arial" w:hAnsi="Arial" w:eastAsia="Arial" w:cs="Arial"/>
                <w:b/>
                <w:bCs/>
                <w:color w:val="1F4E79"/>
                <w:sz w:val="20"/>
                <w:szCs w:val="20"/>
              </w:rPr>
              <w:t>Std Dev</w:t>
            </w:r>
          </w:p>
        </w:tc>
        <w:tc>
          <w:tcPr>
            <w:tcW w:w="466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40" w:type="dxa"/>
              <w:bottom w:w="80" w:type="dxa"/>
              <w:right w:w="140" w:type="dxa"/>
            </w:tcMar>
            <w:vAlign w:val="center"/>
          </w:tcPr>
          <w:p w14:paraId="215B0C6A">
            <w:pPr>
              <w:jc w:val="left"/>
            </w:pPr>
            <w:r>
              <w:rPr>
                <w:rFonts w:ascii="Arial" w:hAnsi="Arial" w:eastAsia="Arial" w:cs="Arial"/>
                <w:b/>
                <w:bCs/>
                <w:color w:val="1F4E79"/>
                <w:sz w:val="20"/>
                <w:szCs w:val="20"/>
              </w:rPr>
              <w:t>Best Parameters</w:t>
            </w:r>
          </w:p>
        </w:tc>
      </w:tr>
      <w:tr w14:paraId="670B0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5D82F262">
            <w:pPr>
              <w:jc w:val="left"/>
            </w:pPr>
            <w:r>
              <w:rPr>
                <w:rFonts w:ascii="Arial" w:hAnsi="Arial" w:eastAsia="Arial" w:cs="Arial"/>
                <w:b w:val="0"/>
                <w:bCs w:val="0"/>
                <w:color w:val="000000"/>
                <w:sz w:val="20"/>
                <w:szCs w:val="20"/>
              </w:rPr>
              <w:t>Logistic Regression</w:t>
            </w:r>
          </w:p>
        </w:tc>
        <w:tc>
          <w:tcPr>
            <w:tcW w:w="180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18225CDF">
            <w:pPr>
              <w:jc w:val="center"/>
            </w:pPr>
            <w:r>
              <w:rPr>
                <w:rFonts w:ascii="Arial" w:hAnsi="Arial" w:eastAsia="Arial" w:cs="Arial"/>
                <w:b w:val="0"/>
                <w:bCs w:val="0"/>
                <w:color w:val="000000"/>
                <w:sz w:val="20"/>
                <w:szCs w:val="20"/>
              </w:rPr>
              <w:t>0.8540</w:t>
            </w:r>
          </w:p>
        </w:tc>
        <w:tc>
          <w:tcPr>
            <w:tcW w:w="150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699D1DAB">
            <w:pPr>
              <w:jc w:val="center"/>
            </w:pPr>
            <w:r>
              <w:rPr>
                <w:rFonts w:ascii="Arial" w:hAnsi="Arial" w:eastAsia="Arial" w:cs="Arial"/>
                <w:b w:val="0"/>
                <w:bCs w:val="0"/>
                <w:color w:val="000000"/>
                <w:sz w:val="20"/>
                <w:szCs w:val="20"/>
              </w:rPr>
              <w:t>±0.0101</w:t>
            </w:r>
          </w:p>
        </w:tc>
        <w:tc>
          <w:tcPr>
            <w:tcW w:w="466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489507B1">
            <w:pPr>
              <w:jc w:val="left"/>
            </w:pPr>
            <w:r>
              <w:rPr>
                <w:rFonts w:ascii="Arial" w:hAnsi="Arial" w:eastAsia="Arial" w:cs="Arial"/>
                <w:b w:val="0"/>
                <w:bCs w:val="0"/>
                <w:color w:val="000000"/>
                <w:sz w:val="20"/>
                <w:szCs w:val="20"/>
              </w:rPr>
              <w:t>C=10, penalty=l2, solver=lbfgs</w:t>
            </w:r>
          </w:p>
        </w:tc>
      </w:tr>
      <w:tr w14:paraId="29E34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2F8E3AF7">
            <w:pPr>
              <w:jc w:val="left"/>
            </w:pPr>
            <w:r>
              <w:rPr>
                <w:rFonts w:ascii="Arial" w:hAnsi="Arial" w:eastAsia="Arial" w:cs="Arial"/>
                <w:b w:val="0"/>
                <w:bCs w:val="0"/>
                <w:color w:val="000000"/>
                <w:sz w:val="20"/>
                <w:szCs w:val="20"/>
              </w:rPr>
              <w:t>Decision Tree</w:t>
            </w:r>
          </w:p>
        </w:tc>
        <w:tc>
          <w:tcPr>
            <w:tcW w:w="180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2E24D956">
            <w:pPr>
              <w:jc w:val="center"/>
            </w:pPr>
            <w:r>
              <w:rPr>
                <w:rFonts w:ascii="Arial" w:hAnsi="Arial" w:eastAsia="Arial" w:cs="Arial"/>
                <w:b w:val="0"/>
                <w:bCs w:val="0"/>
                <w:color w:val="000000"/>
                <w:sz w:val="20"/>
                <w:szCs w:val="20"/>
              </w:rPr>
              <w:t>0.8494</w:t>
            </w:r>
          </w:p>
        </w:tc>
        <w:tc>
          <w:tcPr>
            <w:tcW w:w="150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4EE3CBD2">
            <w:pPr>
              <w:jc w:val="center"/>
            </w:pPr>
            <w:r>
              <w:rPr>
                <w:rFonts w:ascii="Arial" w:hAnsi="Arial" w:eastAsia="Arial" w:cs="Arial"/>
                <w:b w:val="0"/>
                <w:bCs w:val="0"/>
                <w:color w:val="000000"/>
                <w:sz w:val="20"/>
                <w:szCs w:val="20"/>
              </w:rPr>
              <w:t>±0.0122</w:t>
            </w:r>
          </w:p>
        </w:tc>
        <w:tc>
          <w:tcPr>
            <w:tcW w:w="466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0850B603">
            <w:pPr>
              <w:jc w:val="left"/>
            </w:pPr>
            <w:r>
              <w:rPr>
                <w:rFonts w:ascii="Arial" w:hAnsi="Arial" w:eastAsia="Arial" w:cs="Arial"/>
                <w:b w:val="0"/>
                <w:bCs w:val="0"/>
                <w:color w:val="000000"/>
                <w:sz w:val="20"/>
                <w:szCs w:val="20"/>
              </w:rPr>
              <w:t>criterion=gini, max_depth=None, min_samples_leaf=1</w:t>
            </w:r>
          </w:p>
        </w:tc>
      </w:tr>
      <w:tr w14:paraId="5701F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40" w:type="dxa"/>
              <w:bottom w:w="80" w:type="dxa"/>
              <w:right w:w="140" w:type="dxa"/>
            </w:tcMar>
            <w:vAlign w:val="center"/>
          </w:tcPr>
          <w:p w14:paraId="21756FB1">
            <w:pPr>
              <w:jc w:val="left"/>
            </w:pPr>
            <w:r>
              <w:rPr>
                <w:rFonts w:ascii="Arial" w:hAnsi="Arial" w:eastAsia="Arial" w:cs="Arial"/>
                <w:b/>
                <w:bCs/>
                <w:color w:val="375623"/>
                <w:sz w:val="20"/>
                <w:szCs w:val="20"/>
              </w:rPr>
              <w:t>Random Forest ✓</w:t>
            </w:r>
          </w:p>
        </w:tc>
        <w:tc>
          <w:tcPr>
            <w:tcW w:w="18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40" w:type="dxa"/>
              <w:bottom w:w="80" w:type="dxa"/>
              <w:right w:w="140" w:type="dxa"/>
            </w:tcMar>
            <w:vAlign w:val="center"/>
          </w:tcPr>
          <w:p w14:paraId="303E63C3">
            <w:pPr>
              <w:jc w:val="center"/>
            </w:pPr>
            <w:r>
              <w:rPr>
                <w:rFonts w:ascii="Arial" w:hAnsi="Arial" w:eastAsia="Arial" w:cs="Arial"/>
                <w:b/>
                <w:bCs/>
                <w:color w:val="375623"/>
                <w:sz w:val="20"/>
                <w:szCs w:val="20"/>
              </w:rPr>
              <w:t>0.8997</w:t>
            </w:r>
          </w:p>
        </w:tc>
        <w:tc>
          <w:tcPr>
            <w:tcW w:w="15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40" w:type="dxa"/>
              <w:bottom w:w="80" w:type="dxa"/>
              <w:right w:w="140" w:type="dxa"/>
            </w:tcMar>
            <w:vAlign w:val="center"/>
          </w:tcPr>
          <w:p w14:paraId="3DBD3DD2">
            <w:pPr>
              <w:jc w:val="center"/>
            </w:pPr>
            <w:r>
              <w:rPr>
                <w:rFonts w:ascii="Arial" w:hAnsi="Arial" w:eastAsia="Arial" w:cs="Arial"/>
                <w:b/>
                <w:bCs/>
                <w:color w:val="375623"/>
                <w:sz w:val="20"/>
                <w:szCs w:val="20"/>
              </w:rPr>
              <w:t>±0.0053</w:t>
            </w:r>
          </w:p>
        </w:tc>
        <w:tc>
          <w:tcPr>
            <w:tcW w:w="46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40" w:type="dxa"/>
              <w:bottom w:w="80" w:type="dxa"/>
              <w:right w:w="140" w:type="dxa"/>
            </w:tcMar>
            <w:vAlign w:val="center"/>
          </w:tcPr>
          <w:p w14:paraId="102F9331">
            <w:pPr>
              <w:jc w:val="left"/>
            </w:pPr>
            <w:r>
              <w:rPr>
                <w:rFonts w:ascii="Arial" w:hAnsi="Arial" w:eastAsia="Arial" w:cs="Arial"/>
                <w:b/>
                <w:bCs/>
                <w:color w:val="375623"/>
                <w:sz w:val="20"/>
                <w:szCs w:val="20"/>
              </w:rPr>
              <w:t>max_depth=None, min_samples_leaf=1, min_samples_split=2</w:t>
            </w:r>
          </w:p>
        </w:tc>
      </w:tr>
    </w:tbl>
    <w:p w14:paraId="593F84AE">
      <w:pPr>
        <w:spacing w:after="160"/>
      </w:pPr>
    </w:p>
    <w:p w14:paraId="3384E51A">
      <w:pPr>
        <w:pStyle w:val="2"/>
        <w:pBdr>
          <w:bottom w:val="single" w:color="2E75B6" w:sz="4" w:space="4"/>
        </w:pBdr>
        <w:spacing w:before="480" w:after="160"/>
      </w:pPr>
      <w:r>
        <w:rPr>
          <w:rFonts w:ascii="Arial" w:hAnsi="Arial" w:eastAsia="Arial" w:cs="Arial"/>
          <w:b/>
          <w:bCs/>
          <w:color w:val="1F4E79"/>
          <w:sz w:val="28"/>
          <w:szCs w:val="28"/>
        </w:rPr>
        <w:t>6. Model Evaluation</w:t>
      </w:r>
    </w:p>
    <w:p w14:paraId="37E29D31">
      <w:pPr>
        <w:pStyle w:val="3"/>
        <w:spacing w:before="320" w:after="160"/>
      </w:pPr>
      <w:r>
        <w:rPr>
          <w:rFonts w:ascii="Arial" w:hAnsi="Arial" w:eastAsia="Arial" w:cs="Arial"/>
          <w:b/>
          <w:bCs/>
          <w:color w:val="2E75B6"/>
          <w:sz w:val="24"/>
          <w:szCs w:val="24"/>
        </w:rPr>
        <w:t>6.1 Test Set Comparison (Figure 5)</w:t>
      </w:r>
    </w:p>
    <w:p w14:paraId="46A4A55A">
      <w:pPr>
        <w:spacing w:after="120" w:line="360" w:lineRule="auto"/>
        <w:jc w:val="both"/>
      </w:pPr>
      <w:r>
        <w:rPr>
          <w:rFonts w:ascii="Arial" w:hAnsi="Arial" w:eastAsia="Arial" w:cs="Arial"/>
          <w:color w:val="595959"/>
          <w:sz w:val="22"/>
          <w:szCs w:val="22"/>
        </w:rPr>
        <w:t>Figure 5 compares all three models across all five evaluation metrics on the held-out 885-record test set. Random Forest consistently leads on Accuracy, Precision, F1-Score, and AUC-ROC. Logistic Regression achieves a higher Recall (83.80%) than Random Forest (78.87%), meaning it catches more true dropout students at the cost of more false alarms.</w:t>
      </w:r>
    </w:p>
    <w:p w14:paraId="195E9FCB">
      <w:pPr>
        <w:spacing w:after="100"/>
      </w:pPr>
    </w:p>
    <w:p w14:paraId="143D1959">
      <w:pPr>
        <w:spacing w:after="60"/>
        <w:jc w:val="center"/>
      </w:pPr>
      <w:r>
        <w:drawing>
          <wp:inline distT="0" distB="0" distL="0" distR="0">
            <wp:extent cx="6356350" cy="2745740"/>
            <wp:effectExtent l="0" t="0" r="6350" b="165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6356350" cy="2745740"/>
                    </a:xfrm>
                    <a:prstGeom prst="rect">
                      <a:avLst/>
                    </a:prstGeom>
                  </pic:spPr>
                </pic:pic>
              </a:graphicData>
            </a:graphic>
          </wp:inline>
        </w:drawing>
      </w:r>
    </w:p>
    <w:p w14:paraId="55E4329B">
      <w:pPr>
        <w:spacing w:after="200"/>
        <w:jc w:val="center"/>
      </w:pPr>
      <w:r>
        <w:rPr>
          <w:rFonts w:ascii="Arial" w:hAnsi="Arial" w:eastAsia="Arial" w:cs="Arial"/>
          <w:i/>
          <w:iCs/>
          <w:color w:val="595959"/>
          <w:sz w:val="18"/>
          <w:szCs w:val="18"/>
        </w:rPr>
        <w:t>Figure 5. Model performance comparison on the test set across all five metrics.</w:t>
      </w:r>
    </w:p>
    <w:p w14:paraId="431F1368">
      <w:pPr>
        <w:spacing w:after="120"/>
      </w:pPr>
    </w:p>
    <w:p w14:paraId="779A351D">
      <w:pPr>
        <w:spacing w:after="120" w:line="360" w:lineRule="auto"/>
        <w:jc w:val="both"/>
      </w:pPr>
      <w:r>
        <w:rPr>
          <w:rFonts w:ascii="Arial" w:hAnsi="Arial" w:eastAsia="Arial" w:cs="Arial"/>
          <w:color w:val="595959"/>
          <w:sz w:val="22"/>
          <w:szCs w:val="22"/>
        </w:rPr>
        <w:t>Full numeric results:</w:t>
      </w:r>
    </w:p>
    <w:p w14:paraId="66D5FC94">
      <w:pPr>
        <w:spacing w:after="80"/>
      </w:pPr>
    </w:p>
    <w:tbl>
      <w:tblPr>
        <w:tblStyle w:val="9"/>
        <w:tblW w:w="91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1400"/>
        <w:gridCol w:w="1400"/>
        <w:gridCol w:w="1400"/>
        <w:gridCol w:w="1400"/>
        <w:gridCol w:w="1460"/>
      </w:tblGrid>
      <w:tr w14:paraId="310F6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40" w:type="dxa"/>
              <w:bottom w:w="80" w:type="dxa"/>
              <w:right w:w="140" w:type="dxa"/>
            </w:tcMar>
            <w:vAlign w:val="center"/>
          </w:tcPr>
          <w:p w14:paraId="0B2683CE">
            <w:pPr>
              <w:jc w:val="left"/>
            </w:pPr>
            <w:r>
              <w:rPr>
                <w:rFonts w:ascii="Arial" w:hAnsi="Arial" w:eastAsia="Arial" w:cs="Arial"/>
                <w:b/>
                <w:bCs/>
                <w:color w:val="1F4E79"/>
                <w:sz w:val="20"/>
                <w:szCs w:val="20"/>
              </w:rPr>
              <w:t>Model</w:t>
            </w:r>
          </w:p>
        </w:tc>
        <w:tc>
          <w:tcPr>
            <w:tcW w:w="14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40" w:type="dxa"/>
              <w:bottom w:w="80" w:type="dxa"/>
              <w:right w:w="140" w:type="dxa"/>
            </w:tcMar>
            <w:vAlign w:val="center"/>
          </w:tcPr>
          <w:p w14:paraId="1E612136">
            <w:pPr>
              <w:jc w:val="left"/>
            </w:pPr>
            <w:r>
              <w:rPr>
                <w:rFonts w:ascii="Arial" w:hAnsi="Arial" w:eastAsia="Arial" w:cs="Arial"/>
                <w:b/>
                <w:bCs/>
                <w:color w:val="1F4E79"/>
                <w:sz w:val="20"/>
                <w:szCs w:val="20"/>
              </w:rPr>
              <w:t>Accuracy</w:t>
            </w:r>
          </w:p>
        </w:tc>
        <w:tc>
          <w:tcPr>
            <w:tcW w:w="14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40" w:type="dxa"/>
              <w:bottom w:w="80" w:type="dxa"/>
              <w:right w:w="140" w:type="dxa"/>
            </w:tcMar>
            <w:vAlign w:val="center"/>
          </w:tcPr>
          <w:p w14:paraId="4DF30C6C">
            <w:pPr>
              <w:jc w:val="left"/>
            </w:pPr>
            <w:r>
              <w:rPr>
                <w:rFonts w:ascii="Arial" w:hAnsi="Arial" w:eastAsia="Arial" w:cs="Arial"/>
                <w:b/>
                <w:bCs/>
                <w:color w:val="1F4E79"/>
                <w:sz w:val="20"/>
                <w:szCs w:val="20"/>
              </w:rPr>
              <w:t>Precision</w:t>
            </w:r>
          </w:p>
        </w:tc>
        <w:tc>
          <w:tcPr>
            <w:tcW w:w="14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40" w:type="dxa"/>
              <w:bottom w:w="80" w:type="dxa"/>
              <w:right w:w="140" w:type="dxa"/>
            </w:tcMar>
            <w:vAlign w:val="center"/>
          </w:tcPr>
          <w:p w14:paraId="20E9C1D3">
            <w:pPr>
              <w:jc w:val="left"/>
            </w:pPr>
            <w:r>
              <w:rPr>
                <w:rFonts w:ascii="Arial" w:hAnsi="Arial" w:eastAsia="Arial" w:cs="Arial"/>
                <w:b/>
                <w:bCs/>
                <w:color w:val="1F4E79"/>
                <w:sz w:val="20"/>
                <w:szCs w:val="20"/>
              </w:rPr>
              <w:t>Recall</w:t>
            </w:r>
          </w:p>
        </w:tc>
        <w:tc>
          <w:tcPr>
            <w:tcW w:w="14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40" w:type="dxa"/>
              <w:bottom w:w="80" w:type="dxa"/>
              <w:right w:w="140" w:type="dxa"/>
            </w:tcMar>
            <w:vAlign w:val="center"/>
          </w:tcPr>
          <w:p w14:paraId="5EC4C7A5">
            <w:pPr>
              <w:jc w:val="left"/>
            </w:pPr>
            <w:r>
              <w:rPr>
                <w:rFonts w:ascii="Arial" w:hAnsi="Arial" w:eastAsia="Arial" w:cs="Arial"/>
                <w:b/>
                <w:bCs/>
                <w:color w:val="1F4E79"/>
                <w:sz w:val="20"/>
                <w:szCs w:val="20"/>
              </w:rPr>
              <w:t>F1-Score</w:t>
            </w:r>
          </w:p>
        </w:tc>
        <w:tc>
          <w:tcPr>
            <w:tcW w:w="146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40" w:type="dxa"/>
              <w:bottom w:w="80" w:type="dxa"/>
              <w:right w:w="140" w:type="dxa"/>
            </w:tcMar>
            <w:vAlign w:val="center"/>
          </w:tcPr>
          <w:p w14:paraId="58233120">
            <w:pPr>
              <w:jc w:val="left"/>
            </w:pPr>
            <w:r>
              <w:rPr>
                <w:rFonts w:ascii="Arial" w:hAnsi="Arial" w:eastAsia="Arial" w:cs="Arial"/>
                <w:b/>
                <w:bCs/>
                <w:color w:val="1F4E79"/>
                <w:sz w:val="20"/>
                <w:szCs w:val="20"/>
              </w:rPr>
              <w:t>AUC-ROC</w:t>
            </w:r>
          </w:p>
        </w:tc>
      </w:tr>
      <w:tr w14:paraId="5E9B5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16E701BD">
            <w:pPr>
              <w:jc w:val="left"/>
            </w:pPr>
            <w:r>
              <w:rPr>
                <w:rFonts w:ascii="Arial" w:hAnsi="Arial" w:eastAsia="Arial" w:cs="Arial"/>
                <w:b w:val="0"/>
                <w:bCs w:val="0"/>
                <w:color w:val="000000"/>
                <w:sz w:val="20"/>
                <w:szCs w:val="20"/>
              </w:rPr>
              <w:t>Logistic Regression</w:t>
            </w:r>
          </w:p>
        </w:tc>
        <w:tc>
          <w:tcPr>
            <w:tcW w:w="140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4013266C">
            <w:pPr>
              <w:jc w:val="center"/>
            </w:pPr>
            <w:r>
              <w:rPr>
                <w:rFonts w:ascii="Arial" w:hAnsi="Arial" w:eastAsia="Arial" w:cs="Arial"/>
                <w:b w:val="0"/>
                <w:bCs w:val="0"/>
                <w:color w:val="000000"/>
                <w:sz w:val="20"/>
                <w:szCs w:val="20"/>
              </w:rPr>
              <w:t>87.35%</w:t>
            </w:r>
          </w:p>
        </w:tc>
        <w:tc>
          <w:tcPr>
            <w:tcW w:w="140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7E613AC1">
            <w:pPr>
              <w:jc w:val="center"/>
            </w:pPr>
            <w:r>
              <w:rPr>
                <w:rFonts w:ascii="Arial" w:hAnsi="Arial" w:eastAsia="Arial" w:cs="Arial"/>
                <w:b w:val="0"/>
                <w:bCs w:val="0"/>
                <w:color w:val="000000"/>
                <w:sz w:val="20"/>
                <w:szCs w:val="20"/>
              </w:rPr>
              <w:t>79.17%</w:t>
            </w:r>
          </w:p>
        </w:tc>
        <w:tc>
          <w:tcPr>
            <w:tcW w:w="140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7E754FE5">
            <w:pPr>
              <w:jc w:val="center"/>
            </w:pPr>
            <w:r>
              <w:rPr>
                <w:rFonts w:ascii="Arial" w:hAnsi="Arial" w:eastAsia="Arial" w:cs="Arial"/>
                <w:b w:val="0"/>
                <w:bCs w:val="0"/>
                <w:color w:val="000000"/>
                <w:sz w:val="20"/>
                <w:szCs w:val="20"/>
              </w:rPr>
              <w:t>83.80%</w:t>
            </w:r>
          </w:p>
        </w:tc>
        <w:tc>
          <w:tcPr>
            <w:tcW w:w="140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6D2400B5">
            <w:pPr>
              <w:jc w:val="center"/>
            </w:pPr>
            <w:r>
              <w:rPr>
                <w:rFonts w:ascii="Arial" w:hAnsi="Arial" w:eastAsia="Arial" w:cs="Arial"/>
                <w:b w:val="0"/>
                <w:bCs w:val="0"/>
                <w:color w:val="000000"/>
                <w:sz w:val="20"/>
                <w:szCs w:val="20"/>
              </w:rPr>
              <w:t>0.8142</w:t>
            </w:r>
          </w:p>
        </w:tc>
        <w:tc>
          <w:tcPr>
            <w:tcW w:w="146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03379BF7">
            <w:pPr>
              <w:jc w:val="center"/>
            </w:pPr>
            <w:r>
              <w:rPr>
                <w:rFonts w:ascii="Arial" w:hAnsi="Arial" w:eastAsia="Arial" w:cs="Arial"/>
                <w:b w:val="0"/>
                <w:bCs w:val="0"/>
                <w:color w:val="000000"/>
                <w:sz w:val="20"/>
                <w:szCs w:val="20"/>
              </w:rPr>
              <w:t>0.9258</w:t>
            </w:r>
          </w:p>
        </w:tc>
      </w:tr>
      <w:tr w14:paraId="45B36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1DE09827">
            <w:pPr>
              <w:jc w:val="left"/>
            </w:pPr>
            <w:r>
              <w:rPr>
                <w:rFonts w:ascii="Arial" w:hAnsi="Arial" w:eastAsia="Arial" w:cs="Arial"/>
                <w:b w:val="0"/>
                <w:bCs w:val="0"/>
                <w:color w:val="000000"/>
                <w:sz w:val="20"/>
                <w:szCs w:val="20"/>
              </w:rPr>
              <w:t>Decision Tree</w:t>
            </w:r>
          </w:p>
        </w:tc>
        <w:tc>
          <w:tcPr>
            <w:tcW w:w="140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3231E33C">
            <w:pPr>
              <w:jc w:val="center"/>
            </w:pPr>
            <w:r>
              <w:rPr>
                <w:rFonts w:ascii="Arial" w:hAnsi="Arial" w:eastAsia="Arial" w:cs="Arial"/>
                <w:b w:val="0"/>
                <w:bCs w:val="0"/>
                <w:color w:val="000000"/>
                <w:sz w:val="20"/>
                <w:szCs w:val="20"/>
              </w:rPr>
              <w:t>85.31%</w:t>
            </w:r>
          </w:p>
        </w:tc>
        <w:tc>
          <w:tcPr>
            <w:tcW w:w="140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10040A15">
            <w:pPr>
              <w:jc w:val="center"/>
            </w:pPr>
            <w:r>
              <w:rPr>
                <w:rFonts w:ascii="Arial" w:hAnsi="Arial" w:eastAsia="Arial" w:cs="Arial"/>
                <w:b w:val="0"/>
                <w:bCs w:val="0"/>
                <w:color w:val="000000"/>
                <w:sz w:val="20"/>
                <w:szCs w:val="20"/>
              </w:rPr>
              <w:t>78.26%</w:t>
            </w:r>
          </w:p>
        </w:tc>
        <w:tc>
          <w:tcPr>
            <w:tcW w:w="140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150BDE77">
            <w:pPr>
              <w:jc w:val="center"/>
            </w:pPr>
            <w:r>
              <w:rPr>
                <w:rFonts w:ascii="Arial" w:hAnsi="Arial" w:eastAsia="Arial" w:cs="Arial"/>
                <w:b w:val="0"/>
                <w:bCs w:val="0"/>
                <w:color w:val="000000"/>
                <w:sz w:val="20"/>
                <w:szCs w:val="20"/>
              </w:rPr>
              <w:t>76.06%</w:t>
            </w:r>
          </w:p>
        </w:tc>
        <w:tc>
          <w:tcPr>
            <w:tcW w:w="140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5A0E662F">
            <w:pPr>
              <w:jc w:val="center"/>
            </w:pPr>
            <w:r>
              <w:rPr>
                <w:rFonts w:ascii="Arial" w:hAnsi="Arial" w:eastAsia="Arial" w:cs="Arial"/>
                <w:b w:val="0"/>
                <w:bCs w:val="0"/>
                <w:color w:val="000000"/>
                <w:sz w:val="20"/>
                <w:szCs w:val="20"/>
              </w:rPr>
              <w:t>0.7714</w:t>
            </w:r>
          </w:p>
        </w:tc>
        <w:tc>
          <w:tcPr>
            <w:tcW w:w="146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6EFBB5E4">
            <w:pPr>
              <w:jc w:val="center"/>
            </w:pPr>
            <w:r>
              <w:rPr>
                <w:rFonts w:ascii="Arial" w:hAnsi="Arial" w:eastAsia="Arial" w:cs="Arial"/>
                <w:b w:val="0"/>
                <w:bCs w:val="0"/>
                <w:color w:val="000000"/>
                <w:sz w:val="20"/>
                <w:szCs w:val="20"/>
              </w:rPr>
              <w:t>0.8672</w:t>
            </w:r>
          </w:p>
        </w:tc>
      </w:tr>
      <w:tr w14:paraId="36A85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40" w:type="dxa"/>
              <w:bottom w:w="80" w:type="dxa"/>
              <w:right w:w="140" w:type="dxa"/>
            </w:tcMar>
            <w:vAlign w:val="center"/>
          </w:tcPr>
          <w:p w14:paraId="6B40E285">
            <w:pPr>
              <w:jc w:val="left"/>
            </w:pPr>
            <w:r>
              <w:rPr>
                <w:rFonts w:ascii="Arial" w:hAnsi="Arial" w:eastAsia="Arial" w:cs="Arial"/>
                <w:b/>
                <w:bCs/>
                <w:color w:val="375623"/>
                <w:sz w:val="20"/>
                <w:szCs w:val="20"/>
              </w:rPr>
              <w:t>Random Forest ✓ Best</w:t>
            </w:r>
          </w:p>
        </w:tc>
        <w:tc>
          <w:tcPr>
            <w:tcW w:w="14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40" w:type="dxa"/>
              <w:bottom w:w="80" w:type="dxa"/>
              <w:right w:w="140" w:type="dxa"/>
            </w:tcMar>
            <w:vAlign w:val="center"/>
          </w:tcPr>
          <w:p w14:paraId="68578A1C">
            <w:pPr>
              <w:jc w:val="center"/>
            </w:pPr>
            <w:r>
              <w:rPr>
                <w:rFonts w:ascii="Arial" w:hAnsi="Arial" w:eastAsia="Arial" w:cs="Arial"/>
                <w:b/>
                <w:bCs/>
                <w:color w:val="375623"/>
                <w:sz w:val="20"/>
                <w:szCs w:val="20"/>
              </w:rPr>
              <w:t>88.93%</w:t>
            </w:r>
          </w:p>
        </w:tc>
        <w:tc>
          <w:tcPr>
            <w:tcW w:w="14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40" w:type="dxa"/>
              <w:bottom w:w="80" w:type="dxa"/>
              <w:right w:w="140" w:type="dxa"/>
            </w:tcMar>
            <w:vAlign w:val="center"/>
          </w:tcPr>
          <w:p w14:paraId="182458DF">
            <w:pPr>
              <w:jc w:val="center"/>
            </w:pPr>
            <w:r>
              <w:rPr>
                <w:rFonts w:ascii="Arial" w:hAnsi="Arial" w:eastAsia="Arial" w:cs="Arial"/>
                <w:b/>
                <w:bCs/>
                <w:color w:val="375623"/>
                <w:sz w:val="20"/>
                <w:szCs w:val="20"/>
              </w:rPr>
              <w:t>85.50%</w:t>
            </w:r>
          </w:p>
        </w:tc>
        <w:tc>
          <w:tcPr>
            <w:tcW w:w="14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40" w:type="dxa"/>
              <w:bottom w:w="80" w:type="dxa"/>
              <w:right w:w="140" w:type="dxa"/>
            </w:tcMar>
            <w:vAlign w:val="center"/>
          </w:tcPr>
          <w:p w14:paraId="716C24F5">
            <w:pPr>
              <w:jc w:val="center"/>
            </w:pPr>
            <w:r>
              <w:rPr>
                <w:rFonts w:ascii="Arial" w:hAnsi="Arial" w:eastAsia="Arial" w:cs="Arial"/>
                <w:b/>
                <w:bCs/>
                <w:color w:val="375623"/>
                <w:sz w:val="20"/>
                <w:szCs w:val="20"/>
              </w:rPr>
              <w:t>78.87%</w:t>
            </w:r>
          </w:p>
        </w:tc>
        <w:tc>
          <w:tcPr>
            <w:tcW w:w="14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40" w:type="dxa"/>
              <w:bottom w:w="80" w:type="dxa"/>
              <w:right w:w="140" w:type="dxa"/>
            </w:tcMar>
            <w:vAlign w:val="center"/>
          </w:tcPr>
          <w:p w14:paraId="0AF8BDFD">
            <w:pPr>
              <w:jc w:val="center"/>
            </w:pPr>
            <w:r>
              <w:rPr>
                <w:rFonts w:ascii="Arial" w:hAnsi="Arial" w:eastAsia="Arial" w:cs="Arial"/>
                <w:b/>
                <w:bCs/>
                <w:color w:val="375623"/>
                <w:sz w:val="20"/>
                <w:szCs w:val="20"/>
              </w:rPr>
              <w:t>0.8205</w:t>
            </w:r>
          </w:p>
        </w:tc>
        <w:tc>
          <w:tcPr>
            <w:tcW w:w="14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40" w:type="dxa"/>
              <w:bottom w:w="80" w:type="dxa"/>
              <w:right w:w="140" w:type="dxa"/>
            </w:tcMar>
            <w:vAlign w:val="center"/>
          </w:tcPr>
          <w:p w14:paraId="784A49B3">
            <w:pPr>
              <w:jc w:val="center"/>
            </w:pPr>
            <w:r>
              <w:rPr>
                <w:rFonts w:ascii="Arial" w:hAnsi="Arial" w:eastAsia="Arial" w:cs="Arial"/>
                <w:b/>
                <w:bCs/>
                <w:color w:val="375623"/>
                <w:sz w:val="20"/>
                <w:szCs w:val="20"/>
              </w:rPr>
              <w:t>0.9324</w:t>
            </w:r>
          </w:p>
        </w:tc>
      </w:tr>
    </w:tbl>
    <w:p w14:paraId="78DF5336">
      <w:pPr>
        <w:spacing w:after="160"/>
      </w:pPr>
    </w:p>
    <w:p w14:paraId="63C44365">
      <w:pPr>
        <w:pStyle w:val="3"/>
        <w:spacing w:before="320" w:after="160"/>
      </w:pPr>
      <w:r>
        <w:rPr>
          <w:rFonts w:ascii="Arial" w:hAnsi="Arial" w:eastAsia="Arial" w:cs="Arial"/>
          <w:b/>
          <w:bCs/>
          <w:color w:val="2E75B6"/>
          <w:sz w:val="24"/>
          <w:szCs w:val="24"/>
        </w:rPr>
        <w:t>6.2 Confusion Matrices (Figure 6)</w:t>
      </w:r>
    </w:p>
    <w:p w14:paraId="3BD1321E">
      <w:pPr>
        <w:spacing w:after="120" w:line="360" w:lineRule="auto"/>
        <w:jc w:val="both"/>
      </w:pPr>
      <w:r>
        <w:rPr>
          <w:rFonts w:ascii="Arial" w:hAnsi="Arial" w:eastAsia="Arial" w:cs="Arial"/>
          <w:color w:val="595959"/>
          <w:sz w:val="22"/>
          <w:szCs w:val="22"/>
        </w:rPr>
        <w:t>Figure 6 shows the confusion matrices for all three models. For the best model (Random Forest): of the 284 true Dropout students, 224 were correctly identified (True Positives) and 60 were missed (False Negatives). Of the 601 true Non-dropout students, 563 were correctly identified (True Negatives) and 38 were falsely flagged (False Positives). Decision Tree misses the most dropout students (68 FN), while Logistic Regression achieves fewest False Negatives (48 FN) but at the cost of more False Positives (64 FP).</w:t>
      </w:r>
    </w:p>
    <w:p w14:paraId="75E9DA22">
      <w:pPr>
        <w:spacing w:after="100"/>
      </w:pPr>
    </w:p>
    <w:p w14:paraId="709EAC54">
      <w:pPr>
        <w:spacing w:after="60"/>
        <w:jc w:val="center"/>
      </w:pPr>
      <w:r>
        <w:drawing>
          <wp:inline distT="0" distB="0" distL="0" distR="0">
            <wp:extent cx="6293485" cy="2447290"/>
            <wp:effectExtent l="0" t="0" r="12065"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6293485" cy="2447290"/>
                    </a:xfrm>
                    <a:prstGeom prst="rect">
                      <a:avLst/>
                    </a:prstGeom>
                  </pic:spPr>
                </pic:pic>
              </a:graphicData>
            </a:graphic>
          </wp:inline>
        </w:drawing>
      </w:r>
    </w:p>
    <w:p w14:paraId="6E856F1C">
      <w:pPr>
        <w:spacing w:after="200"/>
        <w:jc w:val="center"/>
      </w:pPr>
      <w:r>
        <w:rPr>
          <w:rFonts w:ascii="Arial" w:hAnsi="Arial" w:eastAsia="Arial" w:cs="Arial"/>
          <w:i/>
          <w:iCs/>
          <w:color w:val="595959"/>
          <w:sz w:val="18"/>
          <w:szCs w:val="18"/>
        </w:rPr>
        <w:t>Figure 6. Confusion matrices for Logistic Regression (left), Decision Tree (centre), and Random Forest (right) on the test set.</w:t>
      </w:r>
    </w:p>
    <w:p w14:paraId="447E86E3">
      <w:pPr>
        <w:pStyle w:val="3"/>
        <w:spacing w:before="320" w:after="160"/>
      </w:pPr>
      <w:r>
        <w:rPr>
          <w:rFonts w:ascii="Arial" w:hAnsi="Arial" w:eastAsia="Arial" w:cs="Arial"/>
          <w:b/>
          <w:bCs/>
          <w:color w:val="2E75B6"/>
          <w:sz w:val="24"/>
          <w:szCs w:val="24"/>
        </w:rPr>
        <w:t>6.3 ROC Curves (Figure 7)</w:t>
      </w:r>
    </w:p>
    <w:p w14:paraId="72CCD24B">
      <w:pPr>
        <w:spacing w:after="120" w:line="360" w:lineRule="auto"/>
        <w:jc w:val="both"/>
      </w:pPr>
      <w:r>
        <w:rPr>
          <w:rFonts w:ascii="Arial" w:hAnsi="Arial" w:eastAsia="Arial" w:cs="Arial"/>
          <w:color w:val="595959"/>
          <w:sz w:val="22"/>
          <w:szCs w:val="22"/>
        </w:rPr>
        <w:t>Figure 7 presents the ROC curves for all three classifiers alongside the random baseline (AUC = 0.5). Random Forest achieves the highest AUC-ROC of 0.9324, indicating it correctly ranks a random Dropout student above a random Non-dropout student 93.24% of the time — excellent discriminative performance. Logistic Regression achieves AUC = 0.9258, competitive but slightly below Random Forest. Decision Tree lags at AUC = 0.8672.</w:t>
      </w:r>
    </w:p>
    <w:p w14:paraId="68B36BCF">
      <w:pPr>
        <w:spacing w:after="100"/>
      </w:pPr>
    </w:p>
    <w:p w14:paraId="3C4C0B2C">
      <w:pPr>
        <w:spacing w:after="60"/>
        <w:jc w:val="center"/>
      </w:pPr>
      <w:r>
        <w:drawing>
          <wp:inline distT="0" distB="0" distL="0" distR="0">
            <wp:extent cx="5642610" cy="3415030"/>
            <wp:effectExtent l="0" t="0" r="15240"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642610" cy="3415030"/>
                    </a:xfrm>
                    <a:prstGeom prst="rect">
                      <a:avLst/>
                    </a:prstGeom>
                  </pic:spPr>
                </pic:pic>
              </a:graphicData>
            </a:graphic>
          </wp:inline>
        </w:drawing>
      </w:r>
    </w:p>
    <w:p w14:paraId="5387F710">
      <w:pPr>
        <w:spacing w:after="200"/>
        <w:jc w:val="center"/>
      </w:pPr>
      <w:r>
        <w:rPr>
          <w:rFonts w:ascii="Arial" w:hAnsi="Arial" w:eastAsia="Arial" w:cs="Arial"/>
          <w:i/>
          <w:iCs/>
          <w:color w:val="595959"/>
          <w:sz w:val="18"/>
          <w:szCs w:val="18"/>
        </w:rPr>
        <w:t>Figure 7. ROC curves for all three classifiers. Random Forest (green) achieves the highest AUC = 0.9324.</w:t>
      </w:r>
    </w:p>
    <w:p w14:paraId="64065388">
      <w:pPr>
        <w:pStyle w:val="3"/>
        <w:spacing w:before="320" w:after="160"/>
      </w:pPr>
      <w:r>
        <w:rPr>
          <w:rFonts w:ascii="Arial" w:hAnsi="Arial" w:eastAsia="Arial" w:cs="Arial"/>
          <w:b/>
          <w:bCs/>
          <w:color w:val="2E75B6"/>
          <w:sz w:val="24"/>
          <w:szCs w:val="24"/>
        </w:rPr>
        <w:t>6.4 Feature Importance (Figure 8)</w:t>
      </w:r>
    </w:p>
    <w:p w14:paraId="6364551F">
      <w:pPr>
        <w:spacing w:after="120" w:line="360" w:lineRule="auto"/>
        <w:jc w:val="both"/>
      </w:pPr>
      <w:r>
        <w:rPr>
          <w:rFonts w:ascii="Arial" w:hAnsi="Arial" w:eastAsia="Arial" w:cs="Arial"/>
          <w:color w:val="595959"/>
          <w:sz w:val="22"/>
          <w:szCs w:val="22"/>
        </w:rPr>
        <w:t>Figure 8 shows the top 20 feature importances derived from the Random Forest model. Academic performance metrics dominate: the four most important features are all curricular unit variables (approved units and grades in both semesters), collectively accounting for over 45% of the model's decision-making weight. Tuition fees up to date (5th) highlights the socioeconomic dimension. The full importance ranking is summarised in the table below.</w:t>
      </w:r>
    </w:p>
    <w:p w14:paraId="4533A942">
      <w:pPr>
        <w:spacing w:after="100"/>
      </w:pPr>
    </w:p>
    <w:p w14:paraId="18C74B60">
      <w:pPr>
        <w:spacing w:after="60"/>
        <w:jc w:val="center"/>
      </w:pPr>
      <w:r>
        <w:drawing>
          <wp:inline distT="0" distB="0" distL="0" distR="0">
            <wp:extent cx="6242685" cy="4610735"/>
            <wp:effectExtent l="0" t="0" r="5715" b="184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6242685" cy="4610735"/>
                    </a:xfrm>
                    <a:prstGeom prst="rect">
                      <a:avLst/>
                    </a:prstGeom>
                  </pic:spPr>
                </pic:pic>
              </a:graphicData>
            </a:graphic>
          </wp:inline>
        </w:drawing>
      </w:r>
    </w:p>
    <w:p w14:paraId="332FE394">
      <w:pPr>
        <w:spacing w:after="200"/>
        <w:jc w:val="center"/>
      </w:pPr>
      <w:r>
        <w:rPr>
          <w:rFonts w:ascii="Arial" w:hAnsi="Arial" w:eastAsia="Arial" w:cs="Arial"/>
          <w:i/>
          <w:iCs/>
          <w:color w:val="595959"/>
          <w:sz w:val="18"/>
          <w:szCs w:val="18"/>
        </w:rPr>
        <w:t>Figure 8. Top 20 feature importances from the Random Forest model (higher = more influential in predicting dropout).</w:t>
      </w:r>
    </w:p>
    <w:p w14:paraId="21E05DB5">
      <w:pPr>
        <w:spacing w:after="120"/>
      </w:pPr>
    </w:p>
    <w:tbl>
      <w:tblPr>
        <w:tblStyle w:val="9"/>
        <w:tblW w:w="96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70"/>
        <w:gridCol w:w="3169"/>
        <w:gridCol w:w="1557"/>
        <w:gridCol w:w="4154"/>
      </w:tblGrid>
      <w:tr w14:paraId="55D24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7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40" w:type="dxa"/>
              <w:bottom w:w="80" w:type="dxa"/>
              <w:right w:w="140" w:type="dxa"/>
            </w:tcMar>
            <w:vAlign w:val="center"/>
          </w:tcPr>
          <w:p w14:paraId="2DCD0DC9">
            <w:pPr>
              <w:jc w:val="left"/>
            </w:pPr>
            <w:r>
              <w:rPr>
                <w:rFonts w:ascii="Arial" w:hAnsi="Arial" w:eastAsia="Arial" w:cs="Arial"/>
                <w:b/>
                <w:bCs/>
                <w:color w:val="1F4E79"/>
                <w:sz w:val="20"/>
                <w:szCs w:val="20"/>
              </w:rPr>
              <w:t>Rank</w:t>
            </w:r>
          </w:p>
        </w:tc>
        <w:tc>
          <w:tcPr>
            <w:tcW w:w="3169" w:type="dxa"/>
            <w:tcBorders>
              <w:top w:val="single" w:color="AAAAAA" w:sz="0" w:space="0"/>
              <w:left w:val="single" w:color="AAAAAA" w:sz="0" w:space="0"/>
              <w:bottom w:val="single" w:color="AAAAAA" w:sz="0" w:space="0"/>
              <w:right w:val="single" w:color="AAAAAA" w:sz="0" w:space="0"/>
            </w:tcBorders>
            <w:shd w:val="clear" w:color="auto" w:fill="D6E4F0"/>
            <w:tcMar>
              <w:top w:w="80" w:type="dxa"/>
              <w:left w:w="140" w:type="dxa"/>
              <w:bottom w:w="80" w:type="dxa"/>
              <w:right w:w="140" w:type="dxa"/>
            </w:tcMar>
            <w:vAlign w:val="center"/>
          </w:tcPr>
          <w:p w14:paraId="227284D9">
            <w:pPr>
              <w:jc w:val="left"/>
            </w:pPr>
            <w:r>
              <w:rPr>
                <w:rFonts w:ascii="Arial" w:hAnsi="Arial" w:eastAsia="Arial" w:cs="Arial"/>
                <w:b/>
                <w:bCs/>
                <w:color w:val="1F4E79"/>
                <w:sz w:val="20"/>
                <w:szCs w:val="20"/>
              </w:rPr>
              <w:t>Feature Name</w:t>
            </w:r>
          </w:p>
        </w:tc>
        <w:tc>
          <w:tcPr>
            <w:tcW w:w="1557" w:type="dxa"/>
            <w:tcBorders>
              <w:top w:val="single" w:color="AAAAAA" w:sz="0" w:space="0"/>
              <w:left w:val="single" w:color="AAAAAA" w:sz="0" w:space="0"/>
              <w:bottom w:val="single" w:color="AAAAAA" w:sz="0" w:space="0"/>
              <w:right w:val="single" w:color="AAAAAA" w:sz="0" w:space="0"/>
            </w:tcBorders>
            <w:shd w:val="clear" w:color="auto" w:fill="D6E4F0"/>
            <w:tcMar>
              <w:top w:w="80" w:type="dxa"/>
              <w:left w:w="140" w:type="dxa"/>
              <w:bottom w:w="80" w:type="dxa"/>
              <w:right w:w="140" w:type="dxa"/>
            </w:tcMar>
            <w:vAlign w:val="center"/>
          </w:tcPr>
          <w:p w14:paraId="6A3FC9F1">
            <w:pPr>
              <w:jc w:val="left"/>
            </w:pPr>
            <w:r>
              <w:rPr>
                <w:rFonts w:ascii="Arial" w:hAnsi="Arial" w:eastAsia="Arial" w:cs="Arial"/>
                <w:b/>
                <w:bCs/>
                <w:color w:val="1F4E79"/>
                <w:sz w:val="20"/>
                <w:szCs w:val="20"/>
              </w:rPr>
              <w:t>Importance</w:t>
            </w:r>
          </w:p>
        </w:tc>
        <w:tc>
          <w:tcPr>
            <w:tcW w:w="4154" w:type="dxa"/>
            <w:tcBorders>
              <w:top w:val="single" w:color="AAAAAA" w:sz="0" w:space="0"/>
              <w:left w:val="single" w:color="AAAAAA" w:sz="0" w:space="0"/>
              <w:bottom w:val="single" w:color="AAAAAA" w:sz="0" w:space="0"/>
              <w:right w:val="single" w:color="AAAAAA" w:sz="0" w:space="0"/>
            </w:tcBorders>
            <w:shd w:val="clear" w:color="auto" w:fill="D6E4F0"/>
            <w:tcMar>
              <w:top w:w="80" w:type="dxa"/>
              <w:left w:w="140" w:type="dxa"/>
              <w:bottom w:w="80" w:type="dxa"/>
              <w:right w:w="140" w:type="dxa"/>
            </w:tcMar>
            <w:vAlign w:val="center"/>
          </w:tcPr>
          <w:p w14:paraId="6E42CF47">
            <w:pPr>
              <w:jc w:val="left"/>
            </w:pPr>
            <w:r>
              <w:rPr>
                <w:rFonts w:ascii="Arial" w:hAnsi="Arial" w:eastAsia="Arial" w:cs="Arial"/>
                <w:b/>
                <w:bCs/>
                <w:color w:val="1F4E79"/>
                <w:sz w:val="20"/>
                <w:szCs w:val="20"/>
              </w:rPr>
              <w:t>Interpretation</w:t>
            </w:r>
          </w:p>
        </w:tc>
      </w:tr>
      <w:tr w14:paraId="76F25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68DB16AD">
            <w:pPr>
              <w:jc w:val="center"/>
            </w:pPr>
            <w:r>
              <w:rPr>
                <w:rFonts w:ascii="Arial" w:hAnsi="Arial" w:eastAsia="Arial" w:cs="Arial"/>
                <w:b w:val="0"/>
                <w:bCs w:val="0"/>
                <w:color w:val="000000"/>
                <w:sz w:val="20"/>
                <w:szCs w:val="20"/>
              </w:rPr>
              <w:t>1</w:t>
            </w:r>
          </w:p>
        </w:tc>
        <w:tc>
          <w:tcPr>
            <w:tcW w:w="3169"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5C835840">
            <w:pPr>
              <w:jc w:val="left"/>
            </w:pPr>
            <w:r>
              <w:rPr>
                <w:rFonts w:ascii="Arial" w:hAnsi="Arial" w:eastAsia="Arial" w:cs="Arial"/>
                <w:b w:val="0"/>
                <w:bCs w:val="0"/>
                <w:color w:val="000000"/>
                <w:sz w:val="20"/>
                <w:szCs w:val="20"/>
              </w:rPr>
              <w:t>Curricular units 2nd sem (approved)</w:t>
            </w:r>
          </w:p>
        </w:tc>
        <w:tc>
          <w:tcPr>
            <w:tcW w:w="1557"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1F5E5AED">
            <w:pPr>
              <w:jc w:val="center"/>
            </w:pPr>
            <w:r>
              <w:rPr>
                <w:rFonts w:ascii="Arial" w:hAnsi="Arial" w:eastAsia="Arial" w:cs="Arial"/>
                <w:b w:val="0"/>
                <w:bCs w:val="0"/>
                <w:color w:val="000000"/>
                <w:sz w:val="20"/>
                <w:szCs w:val="20"/>
              </w:rPr>
              <w:t>0.1898</w:t>
            </w:r>
          </w:p>
        </w:tc>
        <w:tc>
          <w:tcPr>
            <w:tcW w:w="4154"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01B10073">
            <w:pPr>
              <w:jc w:val="left"/>
            </w:pPr>
            <w:r>
              <w:rPr>
                <w:rFonts w:ascii="Arial" w:hAnsi="Arial" w:eastAsia="Arial" w:cs="Arial"/>
                <w:b w:val="0"/>
                <w:bCs w:val="0"/>
                <w:color w:val="000000"/>
                <w:sz w:val="20"/>
                <w:szCs w:val="20"/>
              </w:rPr>
              <w:t>Strongest predictor — passes in 2nd semester</w:t>
            </w:r>
          </w:p>
        </w:tc>
      </w:tr>
      <w:tr w14:paraId="63576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18E75DC8">
            <w:pPr>
              <w:jc w:val="center"/>
            </w:pPr>
            <w:r>
              <w:rPr>
                <w:rFonts w:ascii="Arial" w:hAnsi="Arial" w:eastAsia="Arial" w:cs="Arial"/>
                <w:b w:val="0"/>
                <w:bCs w:val="0"/>
                <w:color w:val="000000"/>
                <w:sz w:val="20"/>
                <w:szCs w:val="20"/>
              </w:rPr>
              <w:t>2</w:t>
            </w:r>
          </w:p>
        </w:tc>
        <w:tc>
          <w:tcPr>
            <w:tcW w:w="3169"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1C86F1D8">
            <w:pPr>
              <w:jc w:val="left"/>
            </w:pPr>
            <w:r>
              <w:rPr>
                <w:rFonts w:ascii="Arial" w:hAnsi="Arial" w:eastAsia="Arial" w:cs="Arial"/>
                <w:b w:val="0"/>
                <w:bCs w:val="0"/>
                <w:color w:val="000000"/>
                <w:sz w:val="20"/>
                <w:szCs w:val="20"/>
              </w:rPr>
              <w:t>Curricular units 1st sem (approved)</w:t>
            </w:r>
          </w:p>
        </w:tc>
        <w:tc>
          <w:tcPr>
            <w:tcW w:w="1557"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15DF0C01">
            <w:pPr>
              <w:jc w:val="center"/>
            </w:pPr>
            <w:r>
              <w:rPr>
                <w:rFonts w:ascii="Arial" w:hAnsi="Arial" w:eastAsia="Arial" w:cs="Arial"/>
                <w:b w:val="0"/>
                <w:bCs w:val="0"/>
                <w:color w:val="000000"/>
                <w:sz w:val="20"/>
                <w:szCs w:val="20"/>
              </w:rPr>
              <w:t>0.1050</w:t>
            </w:r>
          </w:p>
        </w:tc>
        <w:tc>
          <w:tcPr>
            <w:tcW w:w="4154"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0A7FA3B6">
            <w:pPr>
              <w:jc w:val="left"/>
            </w:pPr>
            <w:r>
              <w:rPr>
                <w:rFonts w:ascii="Arial" w:hAnsi="Arial" w:eastAsia="Arial" w:cs="Arial"/>
                <w:b w:val="0"/>
                <w:bCs w:val="0"/>
                <w:color w:val="000000"/>
                <w:sz w:val="20"/>
                <w:szCs w:val="20"/>
              </w:rPr>
              <w:t>Early warning — passes in 1st semester</w:t>
            </w:r>
          </w:p>
        </w:tc>
      </w:tr>
      <w:tr w14:paraId="4EA4F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687E2D64">
            <w:pPr>
              <w:jc w:val="center"/>
            </w:pPr>
            <w:r>
              <w:rPr>
                <w:rFonts w:ascii="Arial" w:hAnsi="Arial" w:eastAsia="Arial" w:cs="Arial"/>
                <w:b w:val="0"/>
                <w:bCs w:val="0"/>
                <w:color w:val="000000"/>
                <w:sz w:val="20"/>
                <w:szCs w:val="20"/>
              </w:rPr>
              <w:t>3</w:t>
            </w:r>
          </w:p>
        </w:tc>
        <w:tc>
          <w:tcPr>
            <w:tcW w:w="3169"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67E2F446">
            <w:pPr>
              <w:jc w:val="left"/>
            </w:pPr>
            <w:r>
              <w:rPr>
                <w:rFonts w:ascii="Arial" w:hAnsi="Arial" w:eastAsia="Arial" w:cs="Arial"/>
                <w:b w:val="0"/>
                <w:bCs w:val="0"/>
                <w:color w:val="000000"/>
                <w:sz w:val="20"/>
                <w:szCs w:val="20"/>
              </w:rPr>
              <w:t>Curricular units 2nd sem (grade)</w:t>
            </w:r>
          </w:p>
        </w:tc>
        <w:tc>
          <w:tcPr>
            <w:tcW w:w="1557"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789F8D4C">
            <w:pPr>
              <w:jc w:val="center"/>
            </w:pPr>
            <w:r>
              <w:rPr>
                <w:rFonts w:ascii="Arial" w:hAnsi="Arial" w:eastAsia="Arial" w:cs="Arial"/>
                <w:b w:val="0"/>
                <w:bCs w:val="0"/>
                <w:color w:val="000000"/>
                <w:sz w:val="20"/>
                <w:szCs w:val="20"/>
              </w:rPr>
              <w:t>0.0969</w:t>
            </w:r>
          </w:p>
        </w:tc>
        <w:tc>
          <w:tcPr>
            <w:tcW w:w="4154"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0412C8FF">
            <w:pPr>
              <w:jc w:val="left"/>
            </w:pPr>
            <w:r>
              <w:rPr>
                <w:rFonts w:ascii="Arial" w:hAnsi="Arial" w:eastAsia="Arial" w:cs="Arial"/>
                <w:b w:val="0"/>
                <w:bCs w:val="0"/>
                <w:color w:val="000000"/>
                <w:sz w:val="20"/>
                <w:szCs w:val="20"/>
              </w:rPr>
              <w:t>Average grade in 2nd semester</w:t>
            </w:r>
          </w:p>
        </w:tc>
      </w:tr>
      <w:tr w14:paraId="2922E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2EFBC7F2">
            <w:pPr>
              <w:jc w:val="center"/>
            </w:pPr>
            <w:r>
              <w:rPr>
                <w:rFonts w:ascii="Arial" w:hAnsi="Arial" w:eastAsia="Arial" w:cs="Arial"/>
                <w:b w:val="0"/>
                <w:bCs w:val="0"/>
                <w:color w:val="000000"/>
                <w:sz w:val="20"/>
                <w:szCs w:val="20"/>
              </w:rPr>
              <w:t>4</w:t>
            </w:r>
          </w:p>
        </w:tc>
        <w:tc>
          <w:tcPr>
            <w:tcW w:w="3169"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7A9BE216">
            <w:pPr>
              <w:jc w:val="left"/>
            </w:pPr>
            <w:r>
              <w:rPr>
                <w:rFonts w:ascii="Arial" w:hAnsi="Arial" w:eastAsia="Arial" w:cs="Arial"/>
                <w:b w:val="0"/>
                <w:bCs w:val="0"/>
                <w:color w:val="000000"/>
                <w:sz w:val="20"/>
                <w:szCs w:val="20"/>
              </w:rPr>
              <w:t>Curricular units 1st sem (grade)</w:t>
            </w:r>
          </w:p>
        </w:tc>
        <w:tc>
          <w:tcPr>
            <w:tcW w:w="1557"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782E3ED6">
            <w:pPr>
              <w:jc w:val="center"/>
            </w:pPr>
            <w:r>
              <w:rPr>
                <w:rFonts w:ascii="Arial" w:hAnsi="Arial" w:eastAsia="Arial" w:cs="Arial"/>
                <w:b w:val="0"/>
                <w:bCs w:val="0"/>
                <w:color w:val="000000"/>
                <w:sz w:val="20"/>
                <w:szCs w:val="20"/>
              </w:rPr>
              <w:t>0.0621</w:t>
            </w:r>
          </w:p>
        </w:tc>
        <w:tc>
          <w:tcPr>
            <w:tcW w:w="4154"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57B4FB58">
            <w:pPr>
              <w:jc w:val="left"/>
            </w:pPr>
            <w:r>
              <w:rPr>
                <w:rFonts w:ascii="Arial" w:hAnsi="Arial" w:eastAsia="Arial" w:cs="Arial"/>
                <w:b w:val="0"/>
                <w:bCs w:val="0"/>
                <w:color w:val="000000"/>
                <w:sz w:val="20"/>
                <w:szCs w:val="20"/>
              </w:rPr>
              <w:t>Average grade in 1st semester</w:t>
            </w:r>
          </w:p>
        </w:tc>
      </w:tr>
      <w:tr w14:paraId="3ECED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41EB9540">
            <w:pPr>
              <w:jc w:val="center"/>
            </w:pPr>
            <w:r>
              <w:rPr>
                <w:rFonts w:ascii="Arial" w:hAnsi="Arial" w:eastAsia="Arial" w:cs="Arial"/>
                <w:b w:val="0"/>
                <w:bCs w:val="0"/>
                <w:color w:val="000000"/>
                <w:sz w:val="20"/>
                <w:szCs w:val="20"/>
              </w:rPr>
              <w:t>5</w:t>
            </w:r>
          </w:p>
        </w:tc>
        <w:tc>
          <w:tcPr>
            <w:tcW w:w="3169"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318D2632">
            <w:pPr>
              <w:jc w:val="left"/>
            </w:pPr>
            <w:r>
              <w:rPr>
                <w:rFonts w:ascii="Arial" w:hAnsi="Arial" w:eastAsia="Arial" w:cs="Arial"/>
                <w:b w:val="0"/>
                <w:bCs w:val="0"/>
                <w:color w:val="000000"/>
                <w:sz w:val="20"/>
                <w:szCs w:val="20"/>
              </w:rPr>
              <w:t>Tuition fees up to date</w:t>
            </w:r>
          </w:p>
        </w:tc>
        <w:tc>
          <w:tcPr>
            <w:tcW w:w="1557"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2E3E1B7C">
            <w:pPr>
              <w:jc w:val="center"/>
            </w:pPr>
            <w:r>
              <w:rPr>
                <w:rFonts w:ascii="Arial" w:hAnsi="Arial" w:eastAsia="Arial" w:cs="Arial"/>
                <w:b w:val="0"/>
                <w:bCs w:val="0"/>
                <w:color w:val="000000"/>
                <w:sz w:val="20"/>
                <w:szCs w:val="20"/>
              </w:rPr>
              <w:t>0.0512</w:t>
            </w:r>
          </w:p>
        </w:tc>
        <w:tc>
          <w:tcPr>
            <w:tcW w:w="4154"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440E2170">
            <w:pPr>
              <w:jc w:val="left"/>
            </w:pPr>
            <w:r>
              <w:rPr>
                <w:rFonts w:ascii="Arial" w:hAnsi="Arial" w:eastAsia="Arial" w:cs="Arial"/>
                <w:b w:val="0"/>
                <w:bCs w:val="0"/>
                <w:color w:val="000000"/>
                <w:sz w:val="20"/>
                <w:szCs w:val="20"/>
              </w:rPr>
              <w:t>Financial compliance — socioeconomic indicator</w:t>
            </w:r>
          </w:p>
        </w:tc>
      </w:tr>
      <w:tr w14:paraId="72F98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4DAED380">
            <w:pPr>
              <w:jc w:val="center"/>
            </w:pPr>
            <w:r>
              <w:rPr>
                <w:rFonts w:ascii="Arial" w:hAnsi="Arial" w:eastAsia="Arial" w:cs="Arial"/>
                <w:b w:val="0"/>
                <w:bCs w:val="0"/>
                <w:color w:val="000000"/>
                <w:sz w:val="20"/>
                <w:szCs w:val="20"/>
              </w:rPr>
              <w:t>6</w:t>
            </w:r>
          </w:p>
        </w:tc>
        <w:tc>
          <w:tcPr>
            <w:tcW w:w="3169"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3407CA6D">
            <w:pPr>
              <w:jc w:val="left"/>
            </w:pPr>
            <w:r>
              <w:rPr>
                <w:rFonts w:ascii="Arial" w:hAnsi="Arial" w:eastAsia="Arial" w:cs="Arial"/>
                <w:b w:val="0"/>
                <w:bCs w:val="0"/>
                <w:color w:val="000000"/>
                <w:sz w:val="20"/>
                <w:szCs w:val="20"/>
              </w:rPr>
              <w:t>Age at enrollment</w:t>
            </w:r>
          </w:p>
        </w:tc>
        <w:tc>
          <w:tcPr>
            <w:tcW w:w="1557"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2D0CE2F1">
            <w:pPr>
              <w:jc w:val="center"/>
            </w:pPr>
            <w:r>
              <w:rPr>
                <w:rFonts w:ascii="Arial" w:hAnsi="Arial" w:eastAsia="Arial" w:cs="Arial"/>
                <w:b w:val="0"/>
                <w:bCs w:val="0"/>
                <w:color w:val="000000"/>
                <w:sz w:val="20"/>
                <w:szCs w:val="20"/>
              </w:rPr>
              <w:t>0.0406</w:t>
            </w:r>
          </w:p>
        </w:tc>
        <w:tc>
          <w:tcPr>
            <w:tcW w:w="4154"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1774E0F6">
            <w:pPr>
              <w:jc w:val="left"/>
            </w:pPr>
            <w:r>
              <w:rPr>
                <w:rFonts w:ascii="Arial" w:hAnsi="Arial" w:eastAsia="Arial" w:cs="Arial"/>
                <w:b w:val="0"/>
                <w:bCs w:val="0"/>
                <w:color w:val="000000"/>
                <w:sz w:val="20"/>
                <w:szCs w:val="20"/>
              </w:rPr>
              <w:t>Older students show higher dropout risk</w:t>
            </w:r>
          </w:p>
        </w:tc>
      </w:tr>
      <w:tr w14:paraId="76F4E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7B72FBA5">
            <w:pPr>
              <w:jc w:val="center"/>
            </w:pPr>
            <w:r>
              <w:rPr>
                <w:rFonts w:ascii="Arial" w:hAnsi="Arial" w:eastAsia="Arial" w:cs="Arial"/>
                <w:b w:val="0"/>
                <w:bCs w:val="0"/>
                <w:color w:val="000000"/>
                <w:sz w:val="20"/>
                <w:szCs w:val="20"/>
              </w:rPr>
              <w:t>7</w:t>
            </w:r>
          </w:p>
        </w:tc>
        <w:tc>
          <w:tcPr>
            <w:tcW w:w="3169"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4631EE16">
            <w:pPr>
              <w:jc w:val="left"/>
            </w:pPr>
            <w:r>
              <w:rPr>
                <w:rFonts w:ascii="Arial" w:hAnsi="Arial" w:eastAsia="Arial" w:cs="Arial"/>
                <w:b w:val="0"/>
                <w:bCs w:val="0"/>
                <w:color w:val="000000"/>
                <w:sz w:val="20"/>
                <w:szCs w:val="20"/>
              </w:rPr>
              <w:t>Curricular units 2nd sem (evaluations)</w:t>
            </w:r>
          </w:p>
        </w:tc>
        <w:tc>
          <w:tcPr>
            <w:tcW w:w="1557"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4E222F3C">
            <w:pPr>
              <w:jc w:val="center"/>
            </w:pPr>
            <w:r>
              <w:rPr>
                <w:rFonts w:ascii="Arial" w:hAnsi="Arial" w:eastAsia="Arial" w:cs="Arial"/>
                <w:b w:val="0"/>
                <w:bCs w:val="0"/>
                <w:color w:val="000000"/>
                <w:sz w:val="20"/>
                <w:szCs w:val="20"/>
              </w:rPr>
              <w:t>0.0348</w:t>
            </w:r>
          </w:p>
        </w:tc>
        <w:tc>
          <w:tcPr>
            <w:tcW w:w="4154"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06573428">
            <w:pPr>
              <w:jc w:val="left"/>
            </w:pPr>
            <w:r>
              <w:rPr>
                <w:rFonts w:ascii="Arial" w:hAnsi="Arial" w:eastAsia="Arial" w:cs="Arial"/>
                <w:b w:val="0"/>
                <w:bCs w:val="0"/>
                <w:color w:val="000000"/>
                <w:sz w:val="20"/>
                <w:szCs w:val="20"/>
              </w:rPr>
              <w:t>Assessments attempted in 2nd semester</w:t>
            </w:r>
          </w:p>
        </w:tc>
      </w:tr>
      <w:tr w14:paraId="17447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16B9147B">
            <w:pPr>
              <w:jc w:val="center"/>
            </w:pPr>
            <w:r>
              <w:rPr>
                <w:rFonts w:ascii="Arial" w:hAnsi="Arial" w:eastAsia="Arial" w:cs="Arial"/>
                <w:b w:val="0"/>
                <w:bCs w:val="0"/>
                <w:color w:val="000000"/>
                <w:sz w:val="20"/>
                <w:szCs w:val="20"/>
              </w:rPr>
              <w:t>8</w:t>
            </w:r>
          </w:p>
        </w:tc>
        <w:tc>
          <w:tcPr>
            <w:tcW w:w="3169"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31191CC9">
            <w:pPr>
              <w:jc w:val="left"/>
            </w:pPr>
            <w:r>
              <w:rPr>
                <w:rFonts w:ascii="Arial" w:hAnsi="Arial" w:eastAsia="Arial" w:cs="Arial"/>
                <w:b w:val="0"/>
                <w:bCs w:val="0"/>
                <w:color w:val="000000"/>
                <w:sz w:val="20"/>
                <w:szCs w:val="20"/>
              </w:rPr>
              <w:t>Course</w:t>
            </w:r>
          </w:p>
        </w:tc>
        <w:tc>
          <w:tcPr>
            <w:tcW w:w="1557"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0231B3E4">
            <w:pPr>
              <w:jc w:val="center"/>
            </w:pPr>
            <w:r>
              <w:rPr>
                <w:rFonts w:ascii="Arial" w:hAnsi="Arial" w:eastAsia="Arial" w:cs="Arial"/>
                <w:b w:val="0"/>
                <w:bCs w:val="0"/>
                <w:color w:val="000000"/>
                <w:sz w:val="20"/>
                <w:szCs w:val="20"/>
              </w:rPr>
              <w:t>0.0292</w:t>
            </w:r>
          </w:p>
        </w:tc>
        <w:tc>
          <w:tcPr>
            <w:tcW w:w="4154"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0A1108C8">
            <w:pPr>
              <w:jc w:val="left"/>
            </w:pPr>
            <w:r>
              <w:rPr>
                <w:rFonts w:ascii="Arial" w:hAnsi="Arial" w:eastAsia="Arial" w:cs="Arial"/>
                <w:b w:val="0"/>
                <w:bCs w:val="0"/>
                <w:color w:val="000000"/>
                <w:sz w:val="20"/>
                <w:szCs w:val="20"/>
              </w:rPr>
              <w:t>Programme of study influences attrition</w:t>
            </w:r>
          </w:p>
        </w:tc>
      </w:tr>
      <w:tr w14:paraId="2C81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6B71296F">
            <w:pPr>
              <w:jc w:val="center"/>
            </w:pPr>
            <w:r>
              <w:rPr>
                <w:rFonts w:ascii="Arial" w:hAnsi="Arial" w:eastAsia="Arial" w:cs="Arial"/>
                <w:b w:val="0"/>
                <w:bCs w:val="0"/>
                <w:color w:val="000000"/>
                <w:sz w:val="20"/>
                <w:szCs w:val="20"/>
              </w:rPr>
              <w:t>9</w:t>
            </w:r>
          </w:p>
        </w:tc>
        <w:tc>
          <w:tcPr>
            <w:tcW w:w="3169"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1BBDE346">
            <w:pPr>
              <w:jc w:val="left"/>
            </w:pPr>
            <w:r>
              <w:rPr>
                <w:rFonts w:ascii="Arial" w:hAnsi="Arial" w:eastAsia="Arial" w:cs="Arial"/>
                <w:b w:val="0"/>
                <w:bCs w:val="0"/>
                <w:color w:val="000000"/>
                <w:sz w:val="20"/>
                <w:szCs w:val="20"/>
              </w:rPr>
              <w:t>Application mode</w:t>
            </w:r>
          </w:p>
        </w:tc>
        <w:tc>
          <w:tcPr>
            <w:tcW w:w="1557"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23144F62">
            <w:pPr>
              <w:jc w:val="center"/>
            </w:pPr>
            <w:r>
              <w:rPr>
                <w:rFonts w:ascii="Arial" w:hAnsi="Arial" w:eastAsia="Arial" w:cs="Arial"/>
                <w:b w:val="0"/>
                <w:bCs w:val="0"/>
                <w:color w:val="000000"/>
                <w:sz w:val="20"/>
                <w:szCs w:val="20"/>
              </w:rPr>
              <w:t>0.0290</w:t>
            </w:r>
          </w:p>
        </w:tc>
        <w:tc>
          <w:tcPr>
            <w:tcW w:w="4154"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7E2D7458">
            <w:pPr>
              <w:jc w:val="left"/>
            </w:pPr>
            <w:r>
              <w:rPr>
                <w:rFonts w:ascii="Arial" w:hAnsi="Arial" w:eastAsia="Arial" w:cs="Arial"/>
                <w:b w:val="0"/>
                <w:bCs w:val="0"/>
                <w:color w:val="000000"/>
                <w:sz w:val="20"/>
                <w:szCs w:val="20"/>
              </w:rPr>
              <w:t>Admission pathway correlates with commitment</w:t>
            </w:r>
          </w:p>
        </w:tc>
      </w:tr>
      <w:tr w14:paraId="078DB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6349D9E7">
            <w:pPr>
              <w:jc w:val="center"/>
            </w:pPr>
            <w:r>
              <w:rPr>
                <w:rFonts w:ascii="Arial" w:hAnsi="Arial" w:eastAsia="Arial" w:cs="Arial"/>
                <w:b w:val="0"/>
                <w:bCs w:val="0"/>
                <w:color w:val="000000"/>
                <w:sz w:val="20"/>
                <w:szCs w:val="20"/>
              </w:rPr>
              <w:t>10</w:t>
            </w:r>
          </w:p>
        </w:tc>
        <w:tc>
          <w:tcPr>
            <w:tcW w:w="3169"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23BB1CFF">
            <w:pPr>
              <w:jc w:val="left"/>
            </w:pPr>
            <w:r>
              <w:rPr>
                <w:rFonts w:ascii="Arial" w:hAnsi="Arial" w:eastAsia="Arial" w:cs="Arial"/>
                <w:b w:val="0"/>
                <w:bCs w:val="0"/>
                <w:color w:val="000000"/>
                <w:sz w:val="20"/>
                <w:szCs w:val="20"/>
              </w:rPr>
              <w:t>Admission grade</w:t>
            </w:r>
          </w:p>
        </w:tc>
        <w:tc>
          <w:tcPr>
            <w:tcW w:w="1557"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03085B3B">
            <w:pPr>
              <w:jc w:val="center"/>
            </w:pPr>
            <w:r>
              <w:rPr>
                <w:rFonts w:ascii="Arial" w:hAnsi="Arial" w:eastAsia="Arial" w:cs="Arial"/>
                <w:b w:val="0"/>
                <w:bCs w:val="0"/>
                <w:color w:val="000000"/>
                <w:sz w:val="20"/>
                <w:szCs w:val="20"/>
              </w:rPr>
              <w:t>0.0267</w:t>
            </w:r>
          </w:p>
        </w:tc>
        <w:tc>
          <w:tcPr>
            <w:tcW w:w="4154"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vAlign w:val="center"/>
          </w:tcPr>
          <w:p w14:paraId="3A51F447">
            <w:pPr>
              <w:jc w:val="left"/>
            </w:pPr>
            <w:r>
              <w:rPr>
                <w:rFonts w:ascii="Arial" w:hAnsi="Arial" w:eastAsia="Arial" w:cs="Arial"/>
                <w:b w:val="0"/>
                <w:bCs w:val="0"/>
                <w:color w:val="000000"/>
                <w:sz w:val="20"/>
                <w:szCs w:val="20"/>
              </w:rPr>
              <w:t>Entry qualification from entrance evaluation</w:t>
            </w:r>
          </w:p>
        </w:tc>
      </w:tr>
    </w:tbl>
    <w:p w14:paraId="3909E696">
      <w:pPr>
        <w:spacing w:after="160"/>
      </w:pPr>
    </w:p>
    <w:p w14:paraId="341E9981">
      <w:pPr>
        <w:pStyle w:val="2"/>
        <w:pBdr>
          <w:bottom w:val="single" w:color="2E75B6" w:sz="4" w:space="4"/>
        </w:pBdr>
        <w:spacing w:before="480" w:after="160"/>
      </w:pPr>
      <w:r>
        <w:rPr>
          <w:rFonts w:ascii="Arial" w:hAnsi="Arial" w:eastAsia="Arial" w:cs="Arial"/>
          <w:b/>
          <w:bCs/>
          <w:color w:val="1F4E79"/>
          <w:sz w:val="28"/>
          <w:szCs w:val="28"/>
        </w:rPr>
        <w:t>7. GUI Implementation</w:t>
      </w:r>
    </w:p>
    <w:p w14:paraId="17BBC54B">
      <w:pPr>
        <w:pStyle w:val="3"/>
        <w:spacing w:before="320" w:after="160"/>
      </w:pPr>
      <w:r>
        <w:rPr>
          <w:rFonts w:ascii="Arial" w:hAnsi="Arial" w:eastAsia="Arial" w:cs="Arial"/>
          <w:b/>
          <w:bCs/>
          <w:color w:val="2E75B6"/>
          <w:sz w:val="24"/>
          <w:szCs w:val="24"/>
        </w:rPr>
        <w:t>7.1 Framework &amp; Architecture</w:t>
      </w:r>
    </w:p>
    <w:p w14:paraId="1B9E106A">
      <w:pPr>
        <w:spacing w:after="120" w:line="360" w:lineRule="auto"/>
        <w:jc w:val="both"/>
      </w:pPr>
      <w:r>
        <w:rPr>
          <w:rFonts w:ascii="Arial" w:hAnsi="Arial" w:eastAsia="Arial" w:cs="Arial"/>
          <w:color w:val="595959"/>
          <w:sz w:val="22"/>
          <w:szCs w:val="22"/>
        </w:rPr>
        <w:t>The GUI was implemented using Streamlit and is contained in a single Python file (app.py). The serialised model artefact (student_dropout_model.pkl) is loaded at startup using st.cache_resource, ensuring the model is initialised only once per session for efficiency.</w:t>
      </w:r>
    </w:p>
    <w:p w14:paraId="4E0D1F09">
      <w:pPr>
        <w:pStyle w:val="3"/>
        <w:spacing w:before="320" w:after="160"/>
      </w:pPr>
      <w:r>
        <w:rPr>
          <w:rFonts w:ascii="Arial" w:hAnsi="Arial" w:eastAsia="Arial" w:cs="Arial"/>
          <w:b/>
          <w:bCs/>
          <w:color w:val="2E75B6"/>
          <w:sz w:val="24"/>
          <w:szCs w:val="24"/>
        </w:rPr>
        <w:t>7.2 Interface Layout</w:t>
      </w:r>
    </w:p>
    <w:p w14:paraId="6EB8E958">
      <w:pPr>
        <w:spacing w:after="120" w:line="360" w:lineRule="auto"/>
        <w:jc w:val="both"/>
      </w:pPr>
      <w:r>
        <w:rPr>
          <w:rFonts w:ascii="Arial" w:hAnsi="Arial" w:eastAsia="Arial" w:cs="Arial"/>
          <w:color w:val="595959"/>
          <w:sz w:val="22"/>
          <w:szCs w:val="22"/>
        </w:rPr>
        <w:t>The application is organised across three tabs: (1) Prediction Form — a comprehensive 36-field input form covering all model features, producing a risk badge, gauge chart, top-3 contributing features, and intervention recommendations on submission; (2) Feature Importance — an interactive horizontal bar chart with a user-controlled slider (5–30 features); (3) Model Performance — metric cards and an AUC-ROC summary panel.</w:t>
      </w:r>
    </w:p>
    <w:p w14:paraId="7C032E32">
      <w:pPr>
        <w:pStyle w:val="3"/>
        <w:spacing w:before="320" w:after="160"/>
      </w:pPr>
      <w:r>
        <w:rPr>
          <w:rFonts w:ascii="Arial" w:hAnsi="Arial" w:eastAsia="Arial" w:cs="Arial"/>
          <w:b/>
          <w:bCs/>
          <w:color w:val="2E75B6"/>
          <w:sz w:val="24"/>
          <w:szCs w:val="24"/>
        </w:rPr>
        <w:t>7.3 Prediction Output</w:t>
      </w:r>
    </w:p>
    <w:p w14:paraId="65833FD0">
      <w:pPr>
        <w:spacing w:after="120" w:line="360" w:lineRule="auto"/>
        <w:jc w:val="both"/>
      </w:pPr>
      <w:r>
        <w:rPr>
          <w:rFonts w:ascii="Arial" w:hAnsi="Arial" w:eastAsia="Arial" w:cs="Arial"/>
          <w:color w:val="595959"/>
          <w:sz w:val="22"/>
          <w:szCs w:val="22"/>
        </w:rPr>
        <w:t>For every prediction the GUI displays: a colour-coded risk badge (green &lt; 30%, amber 30–60%, red &gt; 60%), a Plotly gauge chart showing the exact dropout probability, three metric cards for the top contributing features by importance score, and risk-level-specific intervention recommendations ranging from immediate crisis support (High) to continued monitoring (Low).</w:t>
      </w:r>
    </w:p>
    <w:p w14:paraId="1FC017E8">
      <w:pPr>
        <w:pStyle w:val="3"/>
        <w:spacing w:before="320" w:after="160"/>
      </w:pPr>
      <w:r>
        <w:rPr>
          <w:rFonts w:ascii="Arial" w:hAnsi="Arial" w:eastAsia="Arial" w:cs="Arial"/>
          <w:b/>
          <w:bCs/>
          <w:color w:val="2E75B6"/>
          <w:sz w:val="24"/>
          <w:szCs w:val="24"/>
        </w:rPr>
        <w:t>7.4 Disclaimer</w:t>
      </w:r>
    </w:p>
    <w:p w14:paraId="5E99D849">
      <w:pPr>
        <w:spacing w:after="120" w:line="360" w:lineRule="auto"/>
        <w:jc w:val="both"/>
      </w:pPr>
      <w:r>
        <w:rPr>
          <w:rFonts w:ascii="Arial" w:hAnsi="Arial" w:eastAsia="Arial" w:cs="Arial"/>
          <w:color w:val="595959"/>
          <w:sz w:val="22"/>
          <w:szCs w:val="22"/>
        </w:rPr>
        <w:t>A clearly visible disclaimer at the bottom of every page states that the tool is designed to assist — not replace — professional judgment, that predictions are based on historical statistical patterns, and that individual circumstances may differ from model output. A recommendation to update the model periodically is also included.</w:t>
      </w:r>
    </w:p>
    <w:p w14:paraId="42472550">
      <w:pPr>
        <w:pStyle w:val="2"/>
        <w:pBdr>
          <w:bottom w:val="single" w:color="2E75B6" w:sz="4" w:space="4"/>
        </w:pBdr>
        <w:spacing w:before="480" w:after="160"/>
      </w:pPr>
      <w:r>
        <w:rPr>
          <w:rFonts w:ascii="Arial" w:hAnsi="Arial" w:eastAsia="Arial" w:cs="Arial"/>
          <w:b/>
          <w:bCs/>
          <w:color w:val="1F4E79"/>
          <w:sz w:val="28"/>
          <w:szCs w:val="28"/>
        </w:rPr>
        <w:t>8. Limitations</w:t>
      </w:r>
    </w:p>
    <w:p w14:paraId="0CE0362E">
      <w:pPr>
        <w:pStyle w:val="17"/>
        <w:numPr>
          <w:ilvl w:val="0"/>
          <w:numId w:val="1"/>
        </w:numPr>
        <w:spacing w:after="80" w:line="340" w:lineRule="auto"/>
      </w:pPr>
      <w:r>
        <w:rPr>
          <w:rFonts w:ascii="Arial" w:hAnsi="Arial" w:eastAsia="Arial" w:cs="Arial"/>
          <w:color w:val="595959"/>
          <w:sz w:val="22"/>
          <w:szCs w:val="22"/>
        </w:rPr>
        <w:t>False Negative Rate (~21%): Approximately one in five true Dropout students is not flagged, representing a real risk of missed intervention.</w:t>
      </w:r>
    </w:p>
    <w:p w14:paraId="0FCB4892">
      <w:pPr>
        <w:pStyle w:val="17"/>
        <w:numPr>
          <w:ilvl w:val="0"/>
          <w:numId w:val="1"/>
        </w:numPr>
        <w:spacing w:after="80" w:line="340" w:lineRule="auto"/>
      </w:pPr>
      <w:r>
        <w:rPr>
          <w:rFonts w:ascii="Arial" w:hAnsi="Arial" w:eastAsia="Arial" w:cs="Arial"/>
          <w:color w:val="595959"/>
          <w:sz w:val="22"/>
          <w:szCs w:val="22"/>
        </w:rPr>
        <w:t>Single-Institution Dataset: The data originates from one Portuguese university; generalisation to other institutions or cultural contexts is uncertain.</w:t>
      </w:r>
    </w:p>
    <w:p w14:paraId="65B63505">
      <w:pPr>
        <w:pStyle w:val="17"/>
        <w:numPr>
          <w:ilvl w:val="0"/>
          <w:numId w:val="1"/>
        </w:numPr>
        <w:spacing w:after="80" w:line="340" w:lineRule="auto"/>
      </w:pPr>
      <w:r>
        <w:rPr>
          <w:rFonts w:ascii="Arial" w:hAnsi="Arial" w:eastAsia="Arial" w:cs="Arial"/>
          <w:color w:val="595959"/>
          <w:sz w:val="22"/>
          <w:szCs w:val="22"/>
        </w:rPr>
        <w:t>Static Snapshot: The model does not incorporate longitudinal within-semester behavioural changes or adapt dynamically as new data arrives.</w:t>
      </w:r>
    </w:p>
    <w:p w14:paraId="396C5298">
      <w:pPr>
        <w:pStyle w:val="17"/>
        <w:numPr>
          <w:ilvl w:val="0"/>
          <w:numId w:val="1"/>
        </w:numPr>
        <w:spacing w:after="80" w:line="340" w:lineRule="auto"/>
      </w:pPr>
      <w:r>
        <w:rPr>
          <w:rFonts w:ascii="Arial" w:hAnsi="Arial" w:eastAsia="Arial" w:cs="Arial"/>
          <w:color w:val="595959"/>
          <w:sz w:val="22"/>
          <w:szCs w:val="22"/>
        </w:rPr>
        <w:t>Opaque Feature Codes: Application mode, course, and qualification features are integer codes specific to the source institution, reducing GUI usability without the sidebar legend.</w:t>
      </w:r>
    </w:p>
    <w:p w14:paraId="77206300">
      <w:pPr>
        <w:pStyle w:val="17"/>
        <w:numPr>
          <w:ilvl w:val="0"/>
          <w:numId w:val="1"/>
        </w:numPr>
        <w:spacing w:after="80" w:line="340" w:lineRule="auto"/>
      </w:pPr>
      <w:r>
        <w:rPr>
          <w:rFonts w:ascii="Arial" w:hAnsi="Arial" w:eastAsia="Arial" w:cs="Arial"/>
          <w:color w:val="595959"/>
          <w:sz w:val="22"/>
          <w:szCs w:val="22"/>
        </w:rPr>
        <w:t>Global Feature Importance: Random Forest importances are global averages across all trees, not per-student explanations. SHAP values would provide individualised interpretability.</w:t>
      </w:r>
    </w:p>
    <w:p w14:paraId="4DDB6458">
      <w:pPr>
        <w:pStyle w:val="17"/>
        <w:numPr>
          <w:ilvl w:val="0"/>
          <w:numId w:val="1"/>
        </w:numPr>
        <w:spacing w:after="80" w:line="340" w:lineRule="auto"/>
      </w:pPr>
      <w:r>
        <w:rPr>
          <w:rFonts w:ascii="Arial" w:hAnsi="Arial" w:eastAsia="Arial" w:cs="Arial"/>
          <w:color w:val="595959"/>
          <w:sz w:val="22"/>
          <w:szCs w:val="22"/>
        </w:rPr>
        <w:t>No Temporal Validation: The model has not been validated on a time-stratified holdout (e.g., a later academic cohort), so future performance is not guaranteed.</w:t>
      </w:r>
    </w:p>
    <w:p w14:paraId="48ABB660">
      <w:pPr>
        <w:pStyle w:val="2"/>
        <w:pBdr>
          <w:bottom w:val="single" w:color="2E75B6" w:sz="4" w:space="4"/>
        </w:pBdr>
        <w:spacing w:before="480" w:after="160"/>
      </w:pPr>
      <w:r>
        <w:rPr>
          <w:rFonts w:ascii="Arial" w:hAnsi="Arial" w:eastAsia="Arial" w:cs="Arial"/>
          <w:b/>
          <w:bCs/>
          <w:color w:val="1F4E79"/>
          <w:sz w:val="28"/>
          <w:szCs w:val="28"/>
        </w:rPr>
        <w:t>9. Conclusion</w:t>
      </w:r>
    </w:p>
    <w:p w14:paraId="590D8D85">
      <w:pPr>
        <w:spacing w:after="120" w:line="360" w:lineRule="auto"/>
        <w:jc w:val="both"/>
      </w:pPr>
      <w:r>
        <w:rPr>
          <w:rFonts w:ascii="Arial" w:hAnsi="Arial" w:eastAsia="Arial" w:cs="Arial"/>
          <w:color w:val="595959"/>
          <w:sz w:val="22"/>
          <w:szCs w:val="22"/>
        </w:rPr>
        <w:t>This project demonstrated the feasibility of applying supervised machine learning to predict student dropout with high accuracy. A complete pipeline — from raw data through EDA, preprocessing, multi-model training, rigorous evaluation, and GUI deployment — was implemented following industry best practices.</w:t>
      </w:r>
    </w:p>
    <w:p w14:paraId="7D49D56A">
      <w:pPr>
        <w:spacing w:after="120" w:line="360" w:lineRule="auto"/>
        <w:jc w:val="both"/>
      </w:pPr>
      <w:r>
        <w:rPr>
          <w:rFonts w:ascii="Arial" w:hAnsi="Arial" w:eastAsia="Arial" w:cs="Arial"/>
          <w:color w:val="595959"/>
          <w:sz w:val="22"/>
          <w:szCs w:val="22"/>
        </w:rPr>
        <w:t>The Random Forest classifier achieved strong performance across all five metrics (Accuracy 88.93%, Precision 85.50%, Recall 78.87%, F1 0.8205, AUC-ROC 0.9324), significantly outperforming the Logistic Regression and Decision Tree baselines. EDA confirmed that curriculum-related features — particularly the number of approved curricular units and semester grades — are the dominant predictors of dropout, consistent with the educational research literature. The tuition fees variable underscores the socioeconomic dimension of attrition.</w:t>
      </w:r>
    </w:p>
    <w:p w14:paraId="08FB50F7">
      <w:pPr>
        <w:spacing w:after="120" w:line="360" w:lineRule="auto"/>
        <w:jc w:val="both"/>
      </w:pPr>
      <w:r>
        <w:rPr>
          <w:rFonts w:ascii="Arial" w:hAnsi="Arial" w:eastAsia="Arial" w:cs="Arial"/>
          <w:color w:val="595959"/>
          <w:sz w:val="22"/>
          <w:szCs w:val="22"/>
        </w:rPr>
        <w:t>The Streamlit GUI delivers an accessible interface translating model outputs into actionable risk scores, colour-coded badges, and tailored intervention recommendations. The tool is designed to supplement — not supplant — the professional judgment of academic advisors.</w:t>
      </w:r>
    </w:p>
    <w:p w14:paraId="2DBE2BC8">
      <w:pPr>
        <w:spacing w:after="120" w:line="360" w:lineRule="auto"/>
        <w:jc w:val="both"/>
      </w:pPr>
      <w:r>
        <w:rPr>
          <w:rFonts w:ascii="Arial" w:hAnsi="Arial" w:eastAsia="Arial" w:cs="Arial"/>
          <w:color w:val="595959"/>
          <w:sz w:val="22"/>
          <w:szCs w:val="22"/>
        </w:rPr>
        <w:t>Future work should focus on: (1) SHAP-based per-student explanations in the GUI, (2) validation on time-stratified holdout cohorts, (3) multi-class prediction distinguishing Graduate / Enrolled / Dropout trajectories, and (4) integration with the institution's student information system for real-time monitoring.</w:t>
      </w:r>
    </w:p>
    <w:p w14:paraId="1E207B54">
      <w:pPr>
        <w:pStyle w:val="2"/>
        <w:pBdr>
          <w:bottom w:val="single" w:color="2E75B6" w:sz="4" w:space="4"/>
        </w:pBdr>
        <w:spacing w:before="480" w:after="160"/>
      </w:pPr>
      <w:r>
        <w:rPr>
          <w:rFonts w:ascii="Arial" w:hAnsi="Arial" w:eastAsia="Arial" w:cs="Arial"/>
          <w:b/>
          <w:bCs/>
          <w:color w:val="1F4E79"/>
          <w:sz w:val="28"/>
          <w:szCs w:val="28"/>
        </w:rPr>
        <w:t>10. References</w:t>
      </w:r>
    </w:p>
    <w:p w14:paraId="356E2B16">
      <w:pPr>
        <w:spacing w:after="120" w:line="360" w:lineRule="auto"/>
        <w:jc w:val="both"/>
      </w:pPr>
      <w:r>
        <w:rPr>
          <w:rFonts w:ascii="Arial" w:hAnsi="Arial" w:eastAsia="Arial" w:cs="Arial"/>
          <w:color w:val="595959"/>
          <w:sz w:val="22"/>
          <w:szCs w:val="22"/>
        </w:rPr>
        <w:t>[1] Martins, M. V., Tolledo, D., Machado, J., Baptista, L. M. T., &amp; Realinho, V. (2021). Early Prediction of Student's Performance in Higher Education: A Case Study. Trends and Applications in Information Systems and Technologies, Springer.</w:t>
      </w:r>
    </w:p>
    <w:p w14:paraId="387C0E56">
      <w:pPr>
        <w:spacing w:after="120" w:line="360" w:lineRule="auto"/>
        <w:jc w:val="both"/>
      </w:pPr>
      <w:r>
        <w:rPr>
          <w:rFonts w:ascii="Arial" w:hAnsi="Arial" w:eastAsia="Arial" w:cs="Arial"/>
          <w:color w:val="595959"/>
          <w:sz w:val="22"/>
          <w:szCs w:val="22"/>
        </w:rPr>
        <w:t>[2] UCI ML Repository — Predict Students' Dropout and Academic Success. https://archive.ics.uci.edu/dataset/697/predict+students+dropout+and+academic+success</w:t>
      </w:r>
    </w:p>
    <w:p w14:paraId="7A618797">
      <w:pPr>
        <w:spacing w:after="120" w:line="360" w:lineRule="auto"/>
        <w:jc w:val="both"/>
      </w:pPr>
      <w:r>
        <w:rPr>
          <w:rFonts w:ascii="Arial" w:hAnsi="Arial" w:eastAsia="Arial" w:cs="Arial"/>
          <w:color w:val="595959"/>
          <w:sz w:val="22"/>
          <w:szCs w:val="22"/>
        </w:rPr>
        <w:t>[3] Chawla, N. V., et al. (2002). SMOTE: Synthetic Minority Over-sampling Technique. Journal of Artificial Intelligence Research, 16, 321–357.</w:t>
      </w:r>
    </w:p>
    <w:p w14:paraId="7A7632E8">
      <w:pPr>
        <w:spacing w:after="120" w:line="360" w:lineRule="auto"/>
        <w:jc w:val="both"/>
      </w:pPr>
      <w:r>
        <w:rPr>
          <w:rFonts w:ascii="Arial" w:hAnsi="Arial" w:eastAsia="Arial" w:cs="Arial"/>
          <w:color w:val="595959"/>
          <w:sz w:val="22"/>
          <w:szCs w:val="22"/>
        </w:rPr>
        <w:t>[4] Breiman, L. (2001). Random Forests. Machine Learning, 45(1), 5–32.</w:t>
      </w:r>
    </w:p>
    <w:p w14:paraId="3FDC915D">
      <w:pPr>
        <w:spacing w:after="120" w:line="360" w:lineRule="auto"/>
        <w:jc w:val="both"/>
      </w:pPr>
      <w:r>
        <w:rPr>
          <w:rFonts w:ascii="Arial" w:hAnsi="Arial" w:eastAsia="Arial" w:cs="Arial"/>
          <w:color w:val="595959"/>
          <w:sz w:val="22"/>
          <w:szCs w:val="22"/>
        </w:rPr>
        <w:t>[5] Lundberg, S. M., &amp; Lee, S. I. (2017). A Unified Approach to Interpreting Model Predictions. NeurIPS, 30.</w:t>
      </w:r>
    </w:p>
    <w:p w14:paraId="17ED9751">
      <w:pPr>
        <w:spacing w:after="120" w:line="360" w:lineRule="auto"/>
        <w:jc w:val="both"/>
      </w:pPr>
      <w:r>
        <w:rPr>
          <w:rFonts w:ascii="Arial" w:hAnsi="Arial" w:eastAsia="Arial" w:cs="Arial"/>
          <w:color w:val="595959"/>
          <w:sz w:val="22"/>
          <w:szCs w:val="22"/>
        </w:rPr>
        <w:t>[6] Pedregosa, F., et al. (2011). Scikit-learn: Machine Learning in Python. JMLR, 12, 2825–2830.</w:t>
      </w:r>
    </w:p>
    <w:p w14:paraId="1F7A42A6">
      <w:pPr>
        <w:spacing w:after="120" w:line="360" w:lineRule="auto"/>
        <w:jc w:val="both"/>
      </w:pPr>
      <w:r>
        <w:rPr>
          <w:rFonts w:ascii="Arial" w:hAnsi="Arial" w:eastAsia="Arial" w:cs="Arial"/>
          <w:color w:val="595959"/>
          <w:sz w:val="22"/>
          <w:szCs w:val="22"/>
        </w:rPr>
        <w:t>[7] Streamlit Inc. (2023). Streamlit — The fastest way to build data apps. https://streamlit.io</w:t>
      </w:r>
    </w:p>
    <w:p w14:paraId="75220A23"/>
    <w:sectPr>
      <w:headerReference r:id="rId3" w:type="default"/>
      <w:footerReference r:id="rId4" w:type="default"/>
      <w:pgSz w:w="12240" w:h="15840"/>
      <w:pgMar w:top="1440" w:right="1260" w:bottom="1440" w:left="1260" w:header="708" w:footer="708"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7B3620">
    <w:pPr>
      <w:pBdr>
        <w:top w:val="single" w:color="2E75B6" w:sz="4" w:space="4"/>
      </w:pBdr>
      <w:tabs>
        <w:tab w:val="right" w:pos="9360"/>
      </w:tabs>
      <w:spacing w:before="80"/>
    </w:pPr>
    <w:r>
      <w:rPr>
        <w:sz w:val="1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15657E6">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A7SxYXMAgAA&#10;IwYAAA4AAAAAAAAAAQAgAAAAHwEAAGRycy9lMm9Eb2MueG1sUEsFBgAAAAAGAAYAWQEAAF0GAAAA&#10;AA==&#10;">
              <v:fill on="f" focussize="0,0"/>
              <v:stroke on="f" weight="0.5pt"/>
              <v:imagedata o:title=""/>
              <o:lock v:ext="edit" aspectratio="f"/>
              <v:textbox inset="0mm,0mm,0mm,0mm" style="mso-fit-shape-to-text:t;">
                <w:txbxContent>
                  <w:p w14:paraId="315657E6">
                    <w:pPr>
                      <w:pStyle w:val="12"/>
                    </w:pPr>
                    <w:r>
                      <w:fldChar w:fldCharType="begin"/>
                    </w:r>
                    <w:r>
                      <w:instrText xml:space="preserve"> PAGE  \* MERGEFORMAT </w:instrText>
                    </w:r>
                    <w:r>
                      <w:fldChar w:fldCharType="separate"/>
                    </w:r>
                    <w:r>
                      <w:t>1</w:t>
                    </w:r>
                    <w:r>
                      <w:fldChar w:fldCharType="end"/>
                    </w:r>
                  </w:p>
                </w:txbxContent>
              </v:textbox>
            </v:shape>
          </w:pict>
        </mc:Fallback>
      </mc:AlternateContent>
    </w:r>
    <w:r>
      <w:rPr>
        <w:rFonts w:ascii="Arial" w:hAnsi="Arial" w:eastAsia="Arial" w:cs="Arial"/>
        <w:color w:val="595959"/>
        <w:sz w:val="18"/>
        <w:szCs w:val="18"/>
      </w:rPr>
      <w:tab/>
      <w:t>DUET, Gazipur</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4F0BD">
    <w:pPr>
      <w:pBdr>
        <w:bottom w:val="single" w:color="2E75B6" w:sz="4" w:space="4"/>
      </w:pBdr>
      <w:spacing w:after="80"/>
    </w:pPr>
    <w:r>
      <w:rPr>
        <w:rFonts w:ascii="Arial" w:hAnsi="Arial" w:eastAsia="Arial" w:cs="Arial"/>
        <w:color w:val="595959"/>
        <w:sz w:val="18"/>
        <w:szCs w:val="18"/>
      </w:rPr>
      <w:t>Student Dropout Risk Predictor  |  Applied Machine Learning — EDGE Series  |  DUET, Gazipur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1DBB0E8E"/>
    <w:rsid w:val="217A0546"/>
    <w:rsid w:val="45CF0FC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80" w:after="160"/>
      <w:outlineLvl w:val="0"/>
    </w:pPr>
    <w:rPr>
      <w:rFonts w:ascii="Arial" w:hAnsi="Arial" w:eastAsia="Arial" w:cs="Arial"/>
      <w:b/>
      <w:bCs/>
      <w:color w:val="1F4E79"/>
      <w:sz w:val="28"/>
      <w:szCs w:val="28"/>
    </w:rPr>
  </w:style>
  <w:style w:type="paragraph" w:styleId="3">
    <w:name w:val="heading 2"/>
    <w:next w:val="1"/>
    <w:qFormat/>
    <w:uiPriority w:val="0"/>
    <w:pPr>
      <w:spacing w:before="320" w:after="120"/>
      <w:outlineLvl w:val="1"/>
    </w:pPr>
    <w:rPr>
      <w:rFonts w:ascii="Arial" w:hAnsi="Arial" w:eastAsia="Arial" w:cs="Arial"/>
      <w:b/>
      <w:bCs/>
      <w:color w:val="2E75B6"/>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Arial" w:hAnsi="Arial" w:eastAsia="Arial" w:cs="Arial"/>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Arial" w:hAnsi="Arial" w:eastAsia="Arial" w:cs="Arial"/>
      <w:sz w:val="20"/>
      <w:szCs w:val="20"/>
    </w:rPr>
  </w:style>
  <w:style w:type="character" w:styleId="15">
    <w:name w:val="Hyperlink"/>
    <w:unhideWhenUsed/>
    <w:qFormat/>
    <w:uiPriority w:val="99"/>
    <w:rPr>
      <w:color w:val="0563C1"/>
      <w:u w:val="single"/>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14</Pages>
  <Words>507</Words>
  <Characters>3148</Characters>
  <TotalTime>11</TotalTime>
  <ScaleCrop>false</ScaleCrop>
  <LinksUpToDate>false</LinksUpToDate>
  <CharactersWithSpaces>3634</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2026-05-10T16:40:00Z</dcterms:created>
  <dc:creator>Un-named</dc:creator>
  <cp:lastModifiedBy>Naimur Rahman</cp:lastModifiedBy>
  <dcterms:modified xsi:type="dcterms:W3CDTF">2026-05-10T17:21:26Z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eyJoZGlkIjoiYWVhN2MzNzljYzExYzk4NTg5NGZkNjQ0YjkyOWNiZGIiLCJ1c2VySWQiOiIzMTc4OTgwNzI0NDAyIn0=</vt:lpwstr>
  </property>
  <property fmtid="{D5CDD505-2E9C-101B-9397-08002B2CF9AE}" pid="3" name="KSOProductBuildVer">
    <vt:lpwstr>1033-12.1.0.25242</vt:lpwstr>
  </property>
  <property fmtid="{D5CDD505-2E9C-101B-9397-08002B2CF9AE}" pid="4" name="ICV">
    <vt:lpwstr>F1F858CA8DC6493A9457011FF3585538_12</vt:lpwstr>
  </property>
</Properties>
</file>