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7921D">
      <w:pPr>
        <w:numPr>
          <w:ilvl w:val="0"/>
          <w:numId w:val="1"/>
        </w:numPr>
        <w:ind w:left="425" w:leftChars="0" w:hanging="425" w:firstLineChars="0"/>
        <w:rPr>
          <w:rFonts w:hint="default" w:ascii="Times New Roman" w:hAnsi="Times New Roman" w:cs="Times New Roman"/>
          <w:b/>
          <w:bCs/>
          <w:color w:val="0070C0"/>
          <w:sz w:val="28"/>
          <w:szCs w:val="28"/>
        </w:rPr>
      </w:pPr>
      <w:r>
        <w:rPr>
          <w:rFonts w:hint="default" w:ascii="Times New Roman" w:hAnsi="Times New Roman" w:cs="Times New Roman"/>
          <w:b/>
          <w:bCs/>
          <w:color w:val="0070C0"/>
          <w:sz w:val="28"/>
          <w:szCs w:val="28"/>
          <w:lang w:val="en-US"/>
        </w:rPr>
        <w:t xml:space="preserve"> </w:t>
      </w:r>
      <w:r>
        <w:rPr>
          <w:rFonts w:hint="default" w:ascii="Times New Roman" w:hAnsi="Times New Roman" w:cs="Times New Roman"/>
          <w:b/>
          <w:bCs/>
          <w:color w:val="0070C0"/>
          <w:sz w:val="28"/>
          <w:szCs w:val="28"/>
        </w:rPr>
        <w:t>Significance of Accreditation</w:t>
      </w:r>
    </w:p>
    <w:p w14:paraId="6FEF1240">
      <w:pPr>
        <w:widowControl w:val="0"/>
        <w:numPr>
          <w:numId w:val="0"/>
        </w:numPr>
        <w:tabs>
          <w:tab w:val="left" w:pos="425"/>
        </w:tabs>
        <w:autoSpaceDE w:val="0"/>
        <w:autoSpaceDN w:val="0"/>
        <w:spacing w:before="0" w:after="0" w:line="240" w:lineRule="auto"/>
        <w:ind w:right="0" w:rightChars="0"/>
        <w:jc w:val="left"/>
        <w:rPr>
          <w:rFonts w:hint="default" w:ascii="Times New Roman" w:hAnsi="Times New Roman" w:cs="Times New Roman"/>
          <w:b w:val="0"/>
          <w:bCs w:val="0"/>
          <w:color w:val="auto"/>
          <w:sz w:val="24"/>
          <w:szCs w:val="24"/>
        </w:rPr>
      </w:pPr>
    </w:p>
    <w:p w14:paraId="371FAD9C">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Bangladesh is a developing country and its economy is in transition to industry, manufacturing and service sectors. Over the last few years, Bangladesh economy has been experiencing a growth rate of above 7%. With the expansion of industry, manufacturing and service sectors Bangladesh intends to attain the developed country status. But in the face of changing and increasingly competitive global economy sustainable socioeconomic development of any nation mostly depends on knowledge, creativity and innovation. It is a fact that quality higher education forms the basis of a comprehensive system of knowledge, creativity and innovation. In that case, higher education has a very critical role to propel the economic development of Bangladesh towards the target. Tertiary education in Bangladesh has been facing many deeply rooted and intertwined challenges. These include, traditional approach in teaching learning, inadequate capacity for quality teaching learning and research, weak governance and accountability, poor monitoring and evaluation etc.</w:t>
      </w:r>
    </w:p>
    <w:p w14:paraId="0F0311A0">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Bangladesh now, put its step on the highway of development and nothing could be more important now than to taking urgent steps to ensure the quality of higher education. There are around four million students undertaking higher education in Bangladesh. The number is huge by any comparison. If we can enhance the quality of higher education and make graduates competent, productive and useful citizens for the country, Bangladesh can expect to reach the higher level of economic and social development. BAC has been established with the responsibility to promote quality assurance in higher education in Bangladesh, set the quality standards, and collaborate with regional and international QA agencies for international recognition of higher education of Bangladesh. The establishment BAC for improving the quality of higher education and to accredit the higher education institutions and academic programs is an epoch-making event in the history of higher education in Bangladesh. The BAC will play a pivotal role in ensuring best practices in higher education with transparency, accountability and credibility.</w:t>
      </w:r>
    </w:p>
    <w:p w14:paraId="18814A77">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Accreditation standards and criteria of BAC for academic programs will provide a comprehensive mechanism, which would guide the HEI/POE to manage the academic programs including design and delivery of outcome-based curriculum. BAC accreditation system will confirm:</w:t>
      </w:r>
    </w:p>
    <w:p w14:paraId="1C39B85A">
      <w:pPr>
        <w:widowControl w:val="0"/>
        <w:numPr>
          <w:numId w:val="0"/>
        </w:numPr>
        <w:tabs>
          <w:tab w:val="left" w:pos="425"/>
        </w:tabs>
        <w:autoSpaceDE w:val="0"/>
        <w:autoSpaceDN w:val="0"/>
        <w:spacing w:before="0" w:after="0" w:line="240" w:lineRule="auto"/>
        <w:ind w:right="0" w:rightChars="0"/>
        <w:jc w:val="left"/>
        <w:rPr>
          <w:rFonts w:hint="default" w:ascii="Times New Roman" w:hAnsi="Times New Roman"/>
          <w:b w:val="0"/>
          <w:bCs w:val="0"/>
          <w:color w:val="auto"/>
          <w:sz w:val="24"/>
          <w:szCs w:val="24"/>
        </w:rPr>
      </w:pPr>
    </w:p>
    <w:p w14:paraId="2E350528">
      <w:pPr>
        <w:widowControl w:val="0"/>
        <w:numPr>
          <w:ilvl w:val="0"/>
          <w:numId w:val="2"/>
        </w:numPr>
        <w:tabs>
          <w:tab w:val="left" w:pos="425"/>
          <w:tab w:val="clear" w:pos="420"/>
        </w:tabs>
        <w:autoSpaceDE w:val="0"/>
        <w:autoSpaceDN w:val="0"/>
        <w:spacing w:before="0" w:after="0" w:line="240" w:lineRule="auto"/>
        <w:ind w:left="420" w:leftChars="0" w:right="0" w:rightChars="0" w:hanging="420" w:firstLineChars="0"/>
        <w:jc w:val="left"/>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Well-organized internal QA system at the HEIs;</w:t>
      </w:r>
    </w:p>
    <w:p w14:paraId="1937FE58">
      <w:pPr>
        <w:widowControl w:val="0"/>
        <w:numPr>
          <w:numId w:val="0"/>
        </w:numPr>
        <w:tabs>
          <w:tab w:val="left" w:pos="425"/>
        </w:tabs>
        <w:autoSpaceDE w:val="0"/>
        <w:autoSpaceDN w:val="0"/>
        <w:spacing w:before="0" w:after="0" w:line="240" w:lineRule="auto"/>
        <w:ind w:right="0" w:rightChars="0"/>
        <w:jc w:val="left"/>
        <w:rPr>
          <w:rFonts w:hint="default" w:ascii="Times New Roman" w:hAnsi="Times New Roman"/>
          <w:b w:val="0"/>
          <w:bCs w:val="0"/>
          <w:color w:val="auto"/>
          <w:sz w:val="24"/>
          <w:szCs w:val="24"/>
        </w:rPr>
      </w:pPr>
    </w:p>
    <w:p w14:paraId="0DD0AA6E">
      <w:pPr>
        <w:widowControl w:val="0"/>
        <w:numPr>
          <w:ilvl w:val="0"/>
          <w:numId w:val="2"/>
        </w:numPr>
        <w:tabs>
          <w:tab w:val="left" w:pos="425"/>
          <w:tab w:val="clear" w:pos="420"/>
        </w:tabs>
        <w:autoSpaceDE w:val="0"/>
        <w:autoSpaceDN w:val="0"/>
        <w:spacing w:before="0" w:after="0" w:line="240" w:lineRule="auto"/>
        <w:ind w:left="420" w:leftChars="0" w:right="0" w:rightChars="0" w:hanging="420" w:firstLineChars="0"/>
        <w:jc w:val="left"/>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Adequacy  and  appropriateness  of  the  elements  of  the  capacity  and educational process of the HEIs/POEs to produce quality graduates;</w:t>
      </w:r>
    </w:p>
    <w:p w14:paraId="3BD111DB">
      <w:pPr>
        <w:widowControl w:val="0"/>
        <w:numPr>
          <w:numId w:val="0"/>
        </w:numPr>
        <w:tabs>
          <w:tab w:val="left" w:pos="425"/>
        </w:tabs>
        <w:autoSpaceDE w:val="0"/>
        <w:autoSpaceDN w:val="0"/>
        <w:spacing w:before="0" w:after="0" w:line="240" w:lineRule="auto"/>
        <w:ind w:right="0" w:rightChars="0"/>
        <w:jc w:val="left"/>
        <w:rPr>
          <w:rFonts w:hint="default" w:ascii="Times New Roman" w:hAnsi="Times New Roman"/>
          <w:b w:val="0"/>
          <w:bCs w:val="0"/>
          <w:color w:val="auto"/>
          <w:sz w:val="24"/>
          <w:szCs w:val="24"/>
        </w:rPr>
      </w:pPr>
    </w:p>
    <w:p w14:paraId="1AE15A76">
      <w:pPr>
        <w:widowControl w:val="0"/>
        <w:numPr>
          <w:ilvl w:val="0"/>
          <w:numId w:val="2"/>
        </w:numPr>
        <w:tabs>
          <w:tab w:val="left" w:pos="425"/>
          <w:tab w:val="clear" w:pos="420"/>
        </w:tabs>
        <w:autoSpaceDE w:val="0"/>
        <w:autoSpaceDN w:val="0"/>
        <w:spacing w:before="0" w:after="0" w:line="240" w:lineRule="auto"/>
        <w:ind w:left="420" w:leftChars="0" w:right="0" w:rightChars="0" w:hanging="420" w:firstLineChars="0"/>
        <w:jc w:val="left"/>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Ability of the graduates to make greater contribution to the achievement of sustainable development goals;</w:t>
      </w:r>
    </w:p>
    <w:p w14:paraId="7AD98660">
      <w:pPr>
        <w:widowControl w:val="0"/>
        <w:numPr>
          <w:numId w:val="0"/>
        </w:numPr>
        <w:tabs>
          <w:tab w:val="left" w:pos="425"/>
        </w:tabs>
        <w:autoSpaceDE w:val="0"/>
        <w:autoSpaceDN w:val="0"/>
        <w:spacing w:before="0" w:after="0" w:line="240" w:lineRule="auto"/>
        <w:ind w:right="0" w:rightChars="0"/>
        <w:jc w:val="left"/>
        <w:rPr>
          <w:rFonts w:hint="default" w:ascii="Times New Roman" w:hAnsi="Times New Roman"/>
          <w:b w:val="0"/>
          <w:bCs w:val="0"/>
          <w:color w:val="auto"/>
          <w:sz w:val="24"/>
          <w:szCs w:val="24"/>
        </w:rPr>
      </w:pPr>
    </w:p>
    <w:p w14:paraId="1FCBE167">
      <w:pPr>
        <w:widowControl w:val="0"/>
        <w:numPr>
          <w:ilvl w:val="0"/>
          <w:numId w:val="2"/>
        </w:numPr>
        <w:tabs>
          <w:tab w:val="left" w:pos="425"/>
          <w:tab w:val="clear" w:pos="420"/>
        </w:tabs>
        <w:autoSpaceDE w:val="0"/>
        <w:autoSpaceDN w:val="0"/>
        <w:spacing w:before="0" w:after="0" w:line="240" w:lineRule="auto"/>
        <w:ind w:left="420" w:leftChars="0" w:right="0" w:rightChars="0" w:hanging="420" w:firstLineChars="0"/>
        <w:jc w:val="left"/>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Greater transparency and accountability;</w:t>
      </w:r>
    </w:p>
    <w:p w14:paraId="388324EE">
      <w:pPr>
        <w:widowControl w:val="0"/>
        <w:numPr>
          <w:numId w:val="0"/>
        </w:numPr>
        <w:tabs>
          <w:tab w:val="left" w:pos="425"/>
        </w:tabs>
        <w:autoSpaceDE w:val="0"/>
        <w:autoSpaceDN w:val="0"/>
        <w:spacing w:before="0" w:after="0" w:line="240" w:lineRule="auto"/>
        <w:ind w:right="0" w:rightChars="0"/>
        <w:jc w:val="left"/>
        <w:rPr>
          <w:rFonts w:hint="default" w:ascii="Times New Roman" w:hAnsi="Times New Roman"/>
          <w:b w:val="0"/>
          <w:bCs w:val="0"/>
          <w:color w:val="auto"/>
          <w:sz w:val="24"/>
          <w:szCs w:val="24"/>
        </w:rPr>
      </w:pPr>
    </w:p>
    <w:p w14:paraId="65CB9D04">
      <w:pPr>
        <w:widowControl w:val="0"/>
        <w:numPr>
          <w:ilvl w:val="0"/>
          <w:numId w:val="2"/>
        </w:numPr>
        <w:tabs>
          <w:tab w:val="left" w:pos="425"/>
          <w:tab w:val="clear" w:pos="420"/>
        </w:tabs>
        <w:autoSpaceDE w:val="0"/>
        <w:autoSpaceDN w:val="0"/>
        <w:spacing w:before="0" w:after="0" w:line="240" w:lineRule="auto"/>
        <w:ind w:left="420" w:leftChars="0" w:right="0" w:rightChars="0" w:hanging="420" w:firstLineChars="0"/>
        <w:jc w:val="left"/>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rPr>
        <w:t>Guidance toward continuous improvement</w:t>
      </w:r>
      <w:r>
        <w:rPr>
          <w:rFonts w:hint="default" w:ascii="Times New Roman" w:hAnsi="Times New Roman"/>
          <w:b w:val="0"/>
          <w:bCs w:val="0"/>
          <w:color w:val="auto"/>
          <w:sz w:val="24"/>
          <w:szCs w:val="24"/>
          <w:lang w:val="en-US"/>
        </w:rPr>
        <w:t>;</w:t>
      </w:r>
    </w:p>
    <w:p w14:paraId="33F3481D">
      <w:pPr>
        <w:widowControl w:val="0"/>
        <w:numPr>
          <w:numId w:val="0"/>
        </w:numPr>
        <w:tabs>
          <w:tab w:val="left" w:pos="425"/>
        </w:tabs>
        <w:autoSpaceDE w:val="0"/>
        <w:autoSpaceDN w:val="0"/>
        <w:spacing w:before="0" w:after="0" w:line="240" w:lineRule="auto"/>
        <w:ind w:right="0" w:rightChars="0"/>
        <w:jc w:val="left"/>
        <w:rPr>
          <w:rFonts w:hint="default" w:ascii="Times New Roman" w:hAnsi="Times New Roman"/>
          <w:b w:val="0"/>
          <w:bCs w:val="0"/>
          <w:color w:val="auto"/>
          <w:sz w:val="24"/>
          <w:szCs w:val="24"/>
        </w:rPr>
      </w:pPr>
    </w:p>
    <w:p w14:paraId="7055C05F">
      <w:pPr>
        <w:widowControl w:val="0"/>
        <w:numPr>
          <w:ilvl w:val="0"/>
          <w:numId w:val="2"/>
        </w:numPr>
        <w:tabs>
          <w:tab w:val="left" w:pos="425"/>
          <w:tab w:val="clear" w:pos="420"/>
        </w:tabs>
        <w:autoSpaceDE w:val="0"/>
        <w:autoSpaceDN w:val="0"/>
        <w:spacing w:before="0" w:after="0" w:line="240" w:lineRule="auto"/>
        <w:ind w:left="420" w:leftChars="0" w:right="0" w:rightChars="0" w:hanging="420" w:firstLineChars="0"/>
        <w:jc w:val="left"/>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International recognition, credibility &amp; acceptability;</w:t>
      </w:r>
    </w:p>
    <w:p w14:paraId="66FEE7CC">
      <w:pPr>
        <w:widowControl w:val="0"/>
        <w:numPr>
          <w:numId w:val="0"/>
        </w:numPr>
        <w:tabs>
          <w:tab w:val="left" w:pos="425"/>
        </w:tabs>
        <w:autoSpaceDE w:val="0"/>
        <w:autoSpaceDN w:val="0"/>
        <w:spacing w:before="0" w:after="0" w:line="240" w:lineRule="auto"/>
        <w:ind w:right="0" w:rightChars="0"/>
        <w:jc w:val="left"/>
        <w:rPr>
          <w:rFonts w:hint="default" w:ascii="Times New Roman" w:hAnsi="Times New Roman"/>
          <w:b w:val="0"/>
          <w:bCs w:val="0"/>
          <w:color w:val="auto"/>
          <w:sz w:val="24"/>
          <w:szCs w:val="24"/>
        </w:rPr>
      </w:pPr>
    </w:p>
    <w:p w14:paraId="4D45188E">
      <w:pPr>
        <w:widowControl w:val="0"/>
        <w:numPr>
          <w:ilvl w:val="0"/>
          <w:numId w:val="2"/>
        </w:numPr>
        <w:tabs>
          <w:tab w:val="left" w:pos="425"/>
          <w:tab w:val="clear" w:pos="420"/>
        </w:tabs>
        <w:autoSpaceDE w:val="0"/>
        <w:autoSpaceDN w:val="0"/>
        <w:spacing w:before="0" w:after="0" w:line="240" w:lineRule="auto"/>
        <w:ind w:left="420" w:leftChars="0" w:right="0" w:rightChars="0" w:hanging="420" w:firstLineChars="0"/>
        <w:jc w:val="left"/>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Competitiveness to attract talented students;</w:t>
      </w:r>
    </w:p>
    <w:p w14:paraId="49B3C9B3">
      <w:pPr>
        <w:widowControl w:val="0"/>
        <w:numPr>
          <w:numId w:val="0"/>
        </w:numPr>
        <w:tabs>
          <w:tab w:val="left" w:pos="425"/>
        </w:tabs>
        <w:autoSpaceDE w:val="0"/>
        <w:autoSpaceDN w:val="0"/>
        <w:spacing w:before="0" w:after="0" w:line="240" w:lineRule="auto"/>
        <w:ind w:right="0" w:rightChars="0"/>
        <w:jc w:val="left"/>
        <w:rPr>
          <w:rFonts w:hint="default" w:ascii="Times New Roman" w:hAnsi="Times New Roman"/>
          <w:b w:val="0"/>
          <w:bCs w:val="0"/>
          <w:color w:val="auto"/>
          <w:sz w:val="24"/>
          <w:szCs w:val="24"/>
        </w:rPr>
      </w:pPr>
    </w:p>
    <w:p w14:paraId="50F6C310">
      <w:pPr>
        <w:widowControl w:val="0"/>
        <w:numPr>
          <w:ilvl w:val="0"/>
          <w:numId w:val="2"/>
        </w:numPr>
        <w:tabs>
          <w:tab w:val="left" w:pos="425"/>
          <w:tab w:val="clear" w:pos="420"/>
        </w:tabs>
        <w:autoSpaceDE w:val="0"/>
        <w:autoSpaceDN w:val="0"/>
        <w:spacing w:before="0" w:after="0" w:line="240" w:lineRule="auto"/>
        <w:ind w:left="420" w:leftChars="0" w:right="0" w:rightChars="0" w:hanging="420" w:firstLineChars="0"/>
        <w:jc w:val="left"/>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 recognized way to draw the attention of international students.</w:t>
      </w:r>
    </w:p>
    <w:p w14:paraId="2BB3EAB3">
      <w:pPr>
        <w:widowControl w:val="0"/>
        <w:numPr>
          <w:numId w:val="0"/>
        </w:numPr>
        <w:tabs>
          <w:tab w:val="left" w:pos="425"/>
        </w:tabs>
        <w:autoSpaceDE w:val="0"/>
        <w:autoSpaceDN w:val="0"/>
        <w:spacing w:before="0" w:after="0" w:line="240" w:lineRule="auto"/>
        <w:ind w:right="0" w:rightChars="0" w:firstLine="360" w:firstLineChars="150"/>
        <w:jc w:val="left"/>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It is expected that BAC accreditation will make significant contribution to:</w:t>
      </w:r>
    </w:p>
    <w:p w14:paraId="14A1B22A">
      <w:pPr>
        <w:widowControl w:val="0"/>
        <w:numPr>
          <w:numId w:val="0"/>
        </w:numPr>
        <w:tabs>
          <w:tab w:val="left" w:pos="425"/>
        </w:tabs>
        <w:autoSpaceDE w:val="0"/>
        <w:autoSpaceDN w:val="0"/>
        <w:spacing w:before="0" w:after="0" w:line="240" w:lineRule="auto"/>
        <w:ind w:right="0" w:rightChars="0"/>
        <w:jc w:val="left"/>
        <w:rPr>
          <w:rFonts w:hint="default" w:ascii="Times New Roman" w:hAnsi="Times New Roman"/>
          <w:b w:val="0"/>
          <w:bCs w:val="0"/>
          <w:color w:val="auto"/>
          <w:sz w:val="24"/>
          <w:szCs w:val="24"/>
        </w:rPr>
      </w:pPr>
    </w:p>
    <w:p w14:paraId="4D29C2EC">
      <w:pPr>
        <w:widowControl w:val="0"/>
        <w:numPr>
          <w:ilvl w:val="0"/>
          <w:numId w:val="2"/>
        </w:numPr>
        <w:tabs>
          <w:tab w:val="left" w:pos="425"/>
          <w:tab w:val="clear" w:pos="420"/>
        </w:tabs>
        <w:autoSpaceDE w:val="0"/>
        <w:autoSpaceDN w:val="0"/>
        <w:spacing w:before="0" w:after="0" w:line="240" w:lineRule="auto"/>
        <w:ind w:left="420" w:leftChars="0" w:right="0" w:rightChars="0" w:hanging="420" w:firstLineChars="0"/>
        <w:jc w:val="left"/>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Improve competitiveness of graduates for gainful employment and greater contribution to socioeconomic development of the country.</w:t>
      </w:r>
    </w:p>
    <w:p w14:paraId="480BF6DD">
      <w:pPr>
        <w:widowControl w:val="0"/>
        <w:numPr>
          <w:numId w:val="0"/>
        </w:numPr>
        <w:tabs>
          <w:tab w:val="left" w:pos="425"/>
        </w:tabs>
        <w:autoSpaceDE w:val="0"/>
        <w:autoSpaceDN w:val="0"/>
        <w:spacing w:before="0" w:after="0" w:line="240" w:lineRule="auto"/>
        <w:ind w:right="0" w:rightChars="0"/>
        <w:jc w:val="left"/>
        <w:rPr>
          <w:rFonts w:hint="default" w:ascii="Times New Roman" w:hAnsi="Times New Roman"/>
          <w:b w:val="0"/>
          <w:bCs w:val="0"/>
          <w:color w:val="auto"/>
          <w:sz w:val="24"/>
          <w:szCs w:val="24"/>
        </w:rPr>
      </w:pPr>
    </w:p>
    <w:p w14:paraId="5D92D259">
      <w:pPr>
        <w:widowControl w:val="0"/>
        <w:numPr>
          <w:ilvl w:val="0"/>
          <w:numId w:val="2"/>
        </w:numPr>
        <w:tabs>
          <w:tab w:val="left" w:pos="425"/>
          <w:tab w:val="clear" w:pos="420"/>
        </w:tabs>
        <w:autoSpaceDE w:val="0"/>
        <w:autoSpaceDN w:val="0"/>
        <w:spacing w:before="0" w:after="0" w:line="240" w:lineRule="auto"/>
        <w:ind w:left="420" w:leftChars="0" w:right="0" w:rightChars="0" w:hanging="420" w:firstLineChars="0"/>
        <w:jc w:val="left"/>
        <w:rPr>
          <w:rFonts w:hint="default" w:ascii="Times New Roman" w:hAnsi="Times New Roman"/>
          <w:b w:val="0"/>
          <w:bCs w:val="0"/>
          <w:color w:val="auto"/>
          <w:sz w:val="24"/>
          <w:szCs w:val="24"/>
        </w:rPr>
      </w:pPr>
      <w:bookmarkStart w:id="0" w:name="_GoBack"/>
      <w:bookmarkEnd w:id="0"/>
      <w:r>
        <w:rPr>
          <w:rFonts w:hint="default" w:ascii="Times New Roman" w:hAnsi="Times New Roman"/>
          <w:b w:val="0"/>
          <w:bCs w:val="0"/>
          <w:color w:val="auto"/>
          <w:sz w:val="24"/>
          <w:szCs w:val="24"/>
        </w:rPr>
        <w:t>Enhance acceptability of graduates to the reputed universities for exchange programs and academic collaborations.</w:t>
      </w:r>
    </w:p>
    <w:p w14:paraId="16FCE7F9">
      <w:pPr>
        <w:widowControl w:val="0"/>
        <w:numPr>
          <w:numId w:val="0"/>
        </w:numPr>
        <w:tabs>
          <w:tab w:val="left" w:pos="425"/>
        </w:tabs>
        <w:autoSpaceDE w:val="0"/>
        <w:autoSpaceDN w:val="0"/>
        <w:spacing w:before="0" w:after="0" w:line="240" w:lineRule="auto"/>
        <w:ind w:right="0" w:rightChars="0"/>
        <w:jc w:val="left"/>
        <w:rPr>
          <w:rFonts w:hint="default" w:ascii="Times New Roman" w:hAnsi="Times New Roman"/>
          <w:b w:val="0"/>
          <w:bCs w:val="0"/>
          <w:color w:val="auto"/>
          <w:sz w:val="24"/>
          <w:szCs w:val="24"/>
        </w:rPr>
      </w:pPr>
    </w:p>
    <w:p w14:paraId="6DAB8B15">
      <w:pPr>
        <w:widowControl w:val="0"/>
        <w:numPr>
          <w:ilvl w:val="0"/>
          <w:numId w:val="2"/>
        </w:numPr>
        <w:tabs>
          <w:tab w:val="left" w:pos="425"/>
          <w:tab w:val="clear" w:pos="420"/>
        </w:tabs>
        <w:autoSpaceDE w:val="0"/>
        <w:autoSpaceDN w:val="0"/>
        <w:spacing w:before="0" w:after="0" w:line="240" w:lineRule="auto"/>
        <w:ind w:left="420" w:leftChars="0" w:right="0" w:rightChars="0" w:hanging="420" w:firstLineChars="0"/>
        <w:jc w:val="left"/>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Enhance the peoples’ confidence in higher education of Bangladesh, which in effect will support the internationalization of higher education, attract the international students to study in Bangladesh</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Book Antiqua">
    <w:panose1 w:val="02040602050305030304"/>
    <w:charset w:val="00"/>
    <w:family w:val="auto"/>
    <w:pitch w:val="default"/>
    <w:sig w:usb0="00000287" w:usb1="00000000" w:usb2="00000000" w:usb3="00000000" w:csb0="2000009F" w:csb1="DFD70000"/>
  </w:font>
  <w:font w:name="Bookman Old Style">
    <w:panose1 w:val="02050604050505020204"/>
    <w:charset w:val="00"/>
    <w:family w:val="auto"/>
    <w:pitch w:val="default"/>
    <w:sig w:usb0="00000287" w:usb1="00000000" w:usb2="00000000" w:usb3="00000000" w:csb0="2000009F" w:csb1="DFD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1C0499"/>
    <w:multiLevelType w:val="singleLevel"/>
    <w:tmpl w:val="161C04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6D4F1BC"/>
    <w:multiLevelType w:val="multilevel"/>
    <w:tmpl w:val="26D4F1BC"/>
    <w:lvl w:ilvl="0" w:tentative="0">
      <w:start w:val="1"/>
      <w:numFmt w:val="none"/>
      <w:lvlText w:val="1.6 "/>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6D1B38"/>
    <w:rsid w:val="046D1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1317"/>
    </w:pPr>
    <w:rPr>
      <w:rFonts w:ascii="Cambria" w:hAnsi="Cambria" w:eastAsia="Cambria" w:cs="Cambria"/>
      <w:sz w:val="24"/>
      <w:szCs w:val="24"/>
      <w:lang w:val="en-US" w:eastAsia="en-US" w:bidi="ar-SA"/>
    </w:rPr>
  </w:style>
  <w:style w:type="paragraph" w:styleId="6">
    <w:name w:val="List Paragraph"/>
    <w:basedOn w:val="1"/>
    <w:qFormat/>
    <w:uiPriority w:val="1"/>
    <w:pPr>
      <w:spacing w:before="115"/>
      <w:ind w:left="1317" w:hanging="576"/>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2025-09-25T11:18:00Z</dcterms:created>
  <dc:creator>eshra</dc:creator>
  <cp:lastModifiedBy>eshra</cp:lastModifiedBy>
  <dcterms:modified xsi:type="dcterms:W3CDTF">2025-09-25T11:24:36Z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63C084419CC84A6E9CA9EC80D898E936_11</vt:lpwstr>
  </property>
</Properties>
</file>