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9B6E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  <w:t>Intent to Apply</w:t>
      </w:r>
    </w:p>
    <w:p w14:paraId="1F906360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</w:pPr>
    </w:p>
    <w:p w14:paraId="7EB4BAD8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HEI/POE, committed to quality assurance and accepted the BAC accreditation policy and process, shall submit expression of interest in writing to BAC for</w:t>
      </w: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color w:val="auto"/>
          <w:sz w:val="24"/>
          <w:szCs w:val="24"/>
        </w:rPr>
        <w:t>accreditation. After receiving expression of interest, BAC shall provide accreditation manual, counseling and guidance to make necessary preparation to apply for accreditation. Following the BAC Accreditation Manual, the concerned HEI/POE will conduct self-assessment and assess the level of compliance in respect of BAC accreditation standards and criteria. HEI/POE, may appoint mentor for consultation services. Mentor will guide the HEI/POE to adopt and maintain the BAC accreditation standards and criteria with proper documentation, facilitate to conduct self-assessment following the BAC accreditation manual and prepare the entity to apply for accreditation.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0481E"/>
    <w:multiLevelType w:val="multilevel"/>
    <w:tmpl w:val="4C40481E"/>
    <w:lvl w:ilvl="0" w:tentative="0">
      <w:start w:val="1"/>
      <w:numFmt w:val="none"/>
      <w:lvlText w:val="2.2 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9C7C2A"/>
    <w:rsid w:val="6A9C7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1317"/>
    </w:pPr>
    <w:rPr>
      <w:rFonts w:ascii="Cambria" w:hAnsi="Cambria" w:eastAsia="Cambria" w:cs="Cambria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2025-09-25T11:34:00Z</dcterms:created>
  <dc:creator>eshra</dc:creator>
  <cp:lastModifiedBy>eshra</cp:lastModifiedBy>
  <dcterms:modified xsi:type="dcterms:W3CDTF">2025-09-25T11:37:03Z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91E1D29781C44861B89EB9FEF7A751F4_11</vt:lpwstr>
  </property>
</Properties>
</file>