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F2D37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  <w:lang w:val="en-US"/>
        </w:rPr>
        <w:t xml:space="preserve">  </w:t>
      </w:r>
      <w:r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  <w:t>Mentoring Services</w:t>
      </w:r>
    </w:p>
    <w:p w14:paraId="29F9F7D9">
      <w:pPr>
        <w:widowControl w:val="0"/>
        <w:numPr>
          <w:numId w:val="0"/>
        </w:numPr>
        <w:tabs>
          <w:tab w:val="left" w:pos="425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</w:pPr>
    </w:p>
    <w:p w14:paraId="434EA65F">
      <w:pPr>
        <w:widowControl w:val="0"/>
        <w:numPr>
          <w:numId w:val="0"/>
        </w:numPr>
        <w:tabs>
          <w:tab w:val="left" w:pos="425"/>
        </w:tabs>
        <w:autoSpaceDE w:val="0"/>
        <w:autoSpaceDN w:val="0"/>
        <w:spacing w:before="0" w:after="0" w:line="240" w:lineRule="auto"/>
        <w:ind w:right="0" w:rightChars="0"/>
        <w:jc w:val="left"/>
        <w:rPr>
          <w:rFonts w:hint="default" w:ascii="Times New Roman" w:hAnsi="Times New Roman" w:cs="Times New Roman"/>
          <w:b/>
          <w:bCs/>
          <w:color w:val="0070C0"/>
          <w:sz w:val="28"/>
          <w:szCs w:val="28"/>
        </w:rPr>
      </w:pPr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The HEI/POE may contact with the recognized academic auditors or any other qualified QA professionals for guidance and consultation services for better preparation to apply for accre</w:t>
      </w:r>
      <w:bookmarkStart w:id="0" w:name="_GoBack"/>
      <w:bookmarkEnd w:id="0"/>
      <w:r>
        <w:rPr>
          <w:rFonts w:hint="default" w:ascii="Times New Roman" w:hAnsi="Times New Roman"/>
          <w:b w:val="0"/>
          <w:bCs w:val="0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ditation.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Palatino Linotype">
    <w:panose1 w:val="02040502050505030304"/>
    <w:charset w:val="01"/>
    <w:family w:val="roman"/>
    <w:pitch w:val="default"/>
    <w:sig w:usb0="E0000287" w:usb1="40000013" w:usb2="00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AAB105"/>
    <w:multiLevelType w:val="multilevel"/>
    <w:tmpl w:val="98AAB105"/>
    <w:lvl w:ilvl="0" w:tentative="0">
      <w:start w:val="1"/>
      <w:numFmt w:val="none"/>
      <w:lvlText w:val="2.5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567"/>
        </w:tabs>
        <w:ind w:left="567" w:leftChars="0" w:hanging="567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leftChars="0" w:hanging="709" w:firstLineChars="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850"/>
        </w:tabs>
        <w:ind w:left="850" w:leftChars="0" w:hanging="850" w:firstLineChars="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991"/>
        </w:tabs>
        <w:ind w:left="991" w:leftChars="0" w:hanging="991" w:firstLineChars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leftChars="0" w:hanging="1134" w:firstLineChars="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5"/>
        </w:tabs>
        <w:ind w:left="1275" w:leftChars="0" w:hanging="1275" w:firstLineChars="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leftChars="0" w:hanging="1418" w:firstLineChars="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8"/>
        </w:tabs>
        <w:ind w:left="1558" w:leftChars="0" w:hanging="1558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987277"/>
    <w:rsid w:val="29987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paragraph" w:styleId="2">
    <w:name w:val="heading 4"/>
    <w:basedOn w:val="1"/>
    <w:qFormat/>
    <w:uiPriority w:val="1"/>
    <w:pPr>
      <w:spacing w:before="47"/>
      <w:ind w:left="885" w:hanging="720"/>
      <w:outlineLvl w:val="4"/>
    </w:pPr>
    <w:rPr>
      <w:rFonts w:ascii="Palatino Linotype" w:hAnsi="Palatino Linotype" w:eastAsia="Palatino Linotype" w:cs="Palatino Linotype"/>
      <w:b/>
      <w:bCs/>
      <w:sz w:val="28"/>
      <w:szCs w:val="28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317"/>
    </w:pPr>
    <w:rPr>
      <w:rFonts w:ascii="Cambria" w:hAnsi="Cambria" w:eastAsia="Cambria" w:cs="Cambria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Office_12.2.0.19307_F1E327BC-269C-435d-A152-05C5408002CA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2025-09-25T11:45:00Z</dcterms:created>
  <dc:creator>eshra</dc:creator>
  <cp:lastModifiedBy>eshra</cp:lastModifiedBy>
  <dcterms:modified xsi:type="dcterms:W3CDTF">2025-09-25T11:47:11Z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1033-12.2.0.19307</vt:lpwstr>
  </property>
  <property fmtid="{D5CDD505-2E9C-101B-9397-08002B2CF9AE}" pid="3" name="ICV">
    <vt:lpwstr>8E86C38554DC4037A0C319C2D87EF578_11</vt:lpwstr>
  </property>
</Properties>
</file>