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BCAC5C">
      <w:pPr>
        <w:numPr>
          <w:ilvl w:val="0"/>
          <w:numId w:val="1"/>
        </w:numPr>
        <w:ind w:left="425" w:leftChars="0" w:right="0" w:rightChars="0" w:hanging="425" w:firstLineChars="0"/>
        <w:rPr>
          <w:rFonts w:hint="default" w:ascii="Times New Roman" w:hAnsi="Times New Roman"/>
          <w:b/>
          <w:bCs/>
          <w:color w:val="0070C0"/>
          <w:sz w:val="28"/>
          <w:szCs w:val="28"/>
        </w:rPr>
      </w:pPr>
      <w:r>
        <w:rPr>
          <w:rFonts w:hint="default" w:ascii="Times New Roman" w:hAnsi="Times New Roman"/>
          <w:b/>
          <w:bCs/>
          <w:color w:val="0070C0"/>
          <w:sz w:val="28"/>
          <w:szCs w:val="28"/>
          <w:lang w:val="en-US"/>
        </w:rPr>
        <w:t xml:space="preserve"> </w:t>
      </w:r>
      <w:r>
        <w:rPr>
          <w:rFonts w:hint="default" w:ascii="Times New Roman" w:hAnsi="Times New Roman"/>
          <w:b/>
          <w:bCs/>
          <w:color w:val="0070C0"/>
          <w:sz w:val="28"/>
          <w:szCs w:val="28"/>
        </w:rPr>
        <w:t>Formation of Accreditation Committee</w:t>
      </w:r>
      <w:bookmarkStart w:id="0" w:name="_GoBack"/>
      <w:bookmarkEnd w:id="0"/>
    </w:p>
    <w:p w14:paraId="7ABDF09F">
      <w:pPr>
        <w:numPr>
          <w:numId w:val="0"/>
        </w:numPr>
        <w:ind w:leftChars="0" w:right="0" w:rightChars="0"/>
        <w:rPr>
          <w:rFonts w:hint="default" w:ascii="Times New Roman" w:hAnsi="Times New Roman"/>
          <w:b/>
          <w:bCs/>
          <w:color w:val="0070C0"/>
          <w:sz w:val="28"/>
          <w:szCs w:val="28"/>
        </w:rPr>
      </w:pPr>
    </w:p>
    <w:p w14:paraId="0212AFA6">
      <w:pPr>
        <w:numPr>
          <w:ilvl w:val="0"/>
          <w:numId w:val="2"/>
        </w:numPr>
        <w:ind w:left="425" w:leftChars="0" w:right="0" w:rightChars="0" w:hanging="425" w:firstLineChars="0"/>
        <w:jc w:val="both"/>
        <w:rPr>
          <w:rFonts w:hint="default" w:ascii="Times New Roman" w:hAnsi="Times New Roman"/>
          <w:b/>
          <w:bCs/>
          <w:color w:val="auto"/>
          <w:sz w:val="24"/>
          <w:szCs w:val="24"/>
        </w:rPr>
      </w:pPr>
      <w:r>
        <w:rPr>
          <w:rFonts w:hint="default" w:ascii="Times New Roman" w:hAnsi="Times New Roman"/>
          <w:b/>
          <w:bCs/>
          <w:color w:val="auto"/>
          <w:sz w:val="24"/>
          <w:szCs w:val="24"/>
        </w:rPr>
        <w:t>Accreditation Committee</w:t>
      </w:r>
    </w:p>
    <w:p w14:paraId="2668D420">
      <w:pPr>
        <w:numPr>
          <w:numId w:val="0"/>
        </w:numPr>
        <w:ind w:leftChars="0" w:right="0" w:rightChars="0"/>
        <w:jc w:val="both"/>
        <w:rPr>
          <w:rFonts w:hint="default" w:ascii="Times New Roman" w:hAnsi="Times New Roman"/>
          <w:b/>
          <w:bCs/>
          <w:color w:val="auto"/>
          <w:sz w:val="24"/>
          <w:szCs w:val="24"/>
        </w:rPr>
      </w:pPr>
    </w:p>
    <w:p w14:paraId="651407EA">
      <w:pPr>
        <w:numPr>
          <w:numId w:val="0"/>
        </w:numPr>
        <w:ind w:leftChars="0" w:right="0" w:right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After receiving application for accreditation, the council shall form accreditation committee with the selected academic auditors. The composition and Qualifications of Head &amp; Members of the Accreditation Committee are as follows:</w:t>
      </w:r>
    </w:p>
    <w:p w14:paraId="67FB3BB7">
      <w:pPr>
        <w:numPr>
          <w:numId w:val="0"/>
        </w:numPr>
        <w:ind w:leftChars="0" w:right="0" w:rightChars="0"/>
        <w:jc w:val="both"/>
        <w:rPr>
          <w:rFonts w:hint="default" w:ascii="Times New Roman" w:hAnsi="Times New Roman"/>
          <w:b w:val="0"/>
          <w:bCs w:val="0"/>
          <w:color w:val="auto"/>
          <w:sz w:val="24"/>
          <w:szCs w:val="24"/>
        </w:rPr>
      </w:pPr>
    </w:p>
    <w:p w14:paraId="0EFE59B8">
      <w:pPr>
        <w:numPr>
          <w:numId w:val="0"/>
        </w:numPr>
        <w:ind w:leftChars="0" w:right="0" w:rightChars="0"/>
        <w:jc w:val="both"/>
        <w:rPr>
          <w:rFonts w:hint="default" w:ascii="Times New Roman" w:hAnsi="Times New Roman"/>
          <w:b w:val="0"/>
          <w:bCs w:val="0"/>
          <w:color w:val="auto"/>
          <w:sz w:val="24"/>
          <w:szCs w:val="24"/>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7"/>
        <w:gridCol w:w="6385"/>
      </w:tblGrid>
      <w:tr w14:paraId="5D38E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773" w:hRule="atLeast"/>
        </w:trPr>
        <w:tc>
          <w:tcPr>
            <w:tcW w:w="2137" w:type="dxa"/>
          </w:tcPr>
          <w:p w14:paraId="6F7F4065">
            <w:pPr>
              <w:numPr>
                <w:numId w:val="0"/>
              </w:numPr>
              <w:ind w:leftChars="0" w:right="0" w:rightChars="0"/>
              <w:jc w:val="both"/>
              <w:rPr>
                <w:rFonts w:hint="default" w:ascii="Times New Roman" w:hAnsi="Times New Roman"/>
                <w:b w:val="0"/>
                <w:bCs w:val="0"/>
                <w:color w:val="auto"/>
                <w:sz w:val="24"/>
                <w:szCs w:val="24"/>
                <w:vertAlign w:val="baseline"/>
                <w:lang w:val="en-US"/>
              </w:rPr>
            </w:pPr>
            <w:r>
              <w:rPr>
                <w:rFonts w:hint="default" w:ascii="Times New Roman" w:hAnsi="Times New Roman"/>
                <w:b w:val="0"/>
                <w:bCs w:val="0"/>
                <w:color w:val="auto"/>
                <w:sz w:val="24"/>
                <w:szCs w:val="24"/>
                <w:vertAlign w:val="baseline"/>
                <w:lang w:val="en-US"/>
              </w:rPr>
              <w:t>Head:</w:t>
            </w:r>
          </w:p>
        </w:tc>
        <w:tc>
          <w:tcPr>
            <w:tcW w:w="6385" w:type="dxa"/>
          </w:tcPr>
          <w:p w14:paraId="074AFD0F">
            <w:pPr>
              <w:numPr>
                <w:numId w:val="0"/>
              </w:numPr>
              <w:ind w:leftChars="0" w:right="0" w:rightChars="0"/>
              <w:jc w:val="both"/>
              <w:rPr>
                <w:rFonts w:hint="default" w:ascii="Times New Roman" w:hAnsi="Times New Roman"/>
                <w:b w:val="0"/>
                <w:bCs w:val="0"/>
                <w:color w:val="auto"/>
                <w:sz w:val="24"/>
                <w:szCs w:val="24"/>
                <w:vertAlign w:val="baseline"/>
              </w:rPr>
            </w:pPr>
            <w:r>
              <w:rPr>
                <w:rFonts w:hint="default" w:ascii="Times New Roman" w:hAnsi="Times New Roman"/>
                <w:b w:val="0"/>
                <w:bCs w:val="0"/>
                <w:color w:val="auto"/>
                <w:sz w:val="24"/>
                <w:szCs w:val="24"/>
                <w:vertAlign w:val="baseline"/>
              </w:rPr>
              <w:t>One academic with the rank of Professor having specialized knowledge in evaluation of curriculum, quality assurance or accreditation of higher education institution or academic program shall be eligible to be the Head of the committee for accreditation of academic program.</w:t>
            </w:r>
          </w:p>
        </w:tc>
      </w:tr>
      <w:tr w14:paraId="75A35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421" w:hRule="atLeast"/>
        </w:trPr>
        <w:tc>
          <w:tcPr>
            <w:tcW w:w="2137" w:type="dxa"/>
          </w:tcPr>
          <w:p w14:paraId="6DB78D27">
            <w:pPr>
              <w:numPr>
                <w:numId w:val="0"/>
              </w:numPr>
              <w:ind w:leftChars="0" w:right="0" w:rightChars="0"/>
              <w:jc w:val="both"/>
              <w:rPr>
                <w:rFonts w:hint="default" w:ascii="Times New Roman" w:hAnsi="Times New Roman"/>
                <w:b w:val="0"/>
                <w:bCs w:val="0"/>
                <w:color w:val="auto"/>
                <w:sz w:val="24"/>
                <w:szCs w:val="24"/>
                <w:vertAlign w:val="baseline"/>
                <w:lang w:val="en-US"/>
              </w:rPr>
            </w:pPr>
            <w:r>
              <w:rPr>
                <w:rFonts w:hint="default" w:ascii="Times New Roman" w:hAnsi="Times New Roman"/>
                <w:b w:val="0"/>
                <w:bCs w:val="0"/>
                <w:color w:val="auto"/>
                <w:sz w:val="24"/>
                <w:szCs w:val="24"/>
                <w:vertAlign w:val="baseline"/>
                <w:lang w:val="en-US"/>
              </w:rPr>
              <w:t>Members:</w:t>
            </w:r>
          </w:p>
        </w:tc>
        <w:tc>
          <w:tcPr>
            <w:tcW w:w="6385" w:type="dxa"/>
          </w:tcPr>
          <w:p w14:paraId="34A74EA6">
            <w:pPr>
              <w:numPr>
                <w:numId w:val="0"/>
              </w:numPr>
              <w:ind w:leftChars="0" w:right="0" w:rightChars="0"/>
              <w:jc w:val="left"/>
              <w:rPr>
                <w:rFonts w:hint="default" w:ascii="Times New Roman" w:hAnsi="Times New Roman"/>
                <w:b w:val="0"/>
                <w:bCs w:val="0"/>
                <w:color w:val="auto"/>
                <w:sz w:val="24"/>
                <w:szCs w:val="24"/>
                <w:vertAlign w:val="baseline"/>
              </w:rPr>
            </w:pPr>
            <w:r>
              <w:rPr>
                <w:rFonts w:hint="default" w:ascii="Times New Roman" w:hAnsi="Times New Roman"/>
                <w:b w:val="0"/>
                <w:bCs w:val="0"/>
                <w:color w:val="auto"/>
                <w:sz w:val="24"/>
                <w:szCs w:val="24"/>
                <w:vertAlign w:val="baseline"/>
              </w:rPr>
              <w:t>Two academics with the rank of minimum of Professor shall be the members of the accreditation committee for academic program accreditation.</w:t>
            </w:r>
          </w:p>
          <w:p w14:paraId="3320D84F">
            <w:pPr>
              <w:numPr>
                <w:numId w:val="0"/>
              </w:numPr>
              <w:ind w:right="0" w:rightChars="0"/>
              <w:jc w:val="left"/>
              <w:rPr>
                <w:rFonts w:hint="default" w:ascii="Times New Roman" w:hAnsi="Times New Roman"/>
                <w:b w:val="0"/>
                <w:bCs w:val="0"/>
                <w:color w:val="auto"/>
                <w:sz w:val="24"/>
                <w:szCs w:val="24"/>
                <w:vertAlign w:val="baseline"/>
              </w:rPr>
            </w:pPr>
          </w:p>
          <w:p w14:paraId="15463A74">
            <w:pPr>
              <w:numPr>
                <w:ilvl w:val="0"/>
                <w:numId w:val="3"/>
              </w:numPr>
              <w:ind w:left="425" w:leftChars="0" w:right="0" w:rightChars="0" w:hanging="425" w:firstLineChars="0"/>
              <w:jc w:val="both"/>
              <w:rPr>
                <w:rFonts w:hint="default" w:ascii="Times New Roman" w:hAnsi="Times New Roman"/>
                <w:b w:val="0"/>
                <w:bCs w:val="0"/>
                <w:color w:val="auto"/>
                <w:sz w:val="24"/>
                <w:szCs w:val="24"/>
                <w:vertAlign w:val="baseline"/>
              </w:rPr>
            </w:pPr>
            <w:r>
              <w:rPr>
                <w:rFonts w:hint="default" w:ascii="Times New Roman" w:hAnsi="Times New Roman"/>
                <w:b w:val="0"/>
                <w:bCs w:val="0"/>
                <w:color w:val="auto"/>
                <w:sz w:val="24"/>
                <w:szCs w:val="24"/>
                <w:vertAlign w:val="baseline"/>
              </w:rPr>
              <w:t>One member of the Committee shall be an academic with the rank of Professor having experience in academic program or curriculum evaluation, quality assurance or accreditation in higher education.</w:t>
            </w:r>
          </w:p>
          <w:p w14:paraId="58A0966E">
            <w:pPr>
              <w:numPr>
                <w:numId w:val="0"/>
              </w:numPr>
              <w:ind w:right="0" w:rightChars="0"/>
              <w:jc w:val="both"/>
              <w:rPr>
                <w:rFonts w:hint="default" w:ascii="Times New Roman" w:hAnsi="Times New Roman"/>
                <w:b w:val="0"/>
                <w:bCs w:val="0"/>
                <w:color w:val="auto"/>
                <w:sz w:val="24"/>
                <w:szCs w:val="24"/>
                <w:vertAlign w:val="baseline"/>
              </w:rPr>
            </w:pPr>
          </w:p>
          <w:p w14:paraId="0ED30665">
            <w:pPr>
              <w:numPr>
                <w:ilvl w:val="0"/>
                <w:numId w:val="3"/>
              </w:numPr>
              <w:ind w:left="425" w:leftChars="0" w:right="0" w:rightChars="0" w:hanging="425" w:firstLineChars="0"/>
              <w:jc w:val="both"/>
              <w:rPr>
                <w:rFonts w:hint="default" w:ascii="Times New Roman" w:hAnsi="Times New Roman"/>
                <w:b w:val="0"/>
                <w:bCs w:val="0"/>
                <w:color w:val="auto"/>
                <w:sz w:val="24"/>
                <w:szCs w:val="24"/>
                <w:vertAlign w:val="baseline"/>
              </w:rPr>
            </w:pPr>
            <w:r>
              <w:rPr>
                <w:rFonts w:hint="default" w:ascii="Times New Roman" w:hAnsi="Times New Roman"/>
                <w:b w:val="0"/>
                <w:bCs w:val="0"/>
                <w:color w:val="auto"/>
                <w:sz w:val="24"/>
                <w:szCs w:val="24"/>
                <w:vertAlign w:val="baseline"/>
              </w:rPr>
              <w:t>Another member, as subject expert, shall be an academic with the rank of Professor from the respective subject/discipline of the academic program, for which application is submitted for accreditation.</w:t>
            </w:r>
          </w:p>
        </w:tc>
      </w:tr>
    </w:tbl>
    <w:p w14:paraId="1336F0C4">
      <w:pPr>
        <w:numPr>
          <w:numId w:val="0"/>
        </w:numPr>
        <w:ind w:leftChars="0" w:right="0" w:rightChars="0"/>
        <w:jc w:val="both"/>
        <w:rPr>
          <w:rFonts w:hint="default" w:ascii="Times New Roman" w:hAnsi="Times New Roman"/>
          <w:b w:val="0"/>
          <w:bCs w:val="0"/>
          <w:color w:val="auto"/>
          <w:sz w:val="24"/>
          <w:szCs w:val="24"/>
        </w:rPr>
      </w:pPr>
    </w:p>
    <w:p w14:paraId="35EDBBCE">
      <w:pPr>
        <w:numPr>
          <w:ilvl w:val="0"/>
          <w:numId w:val="2"/>
        </w:numPr>
        <w:ind w:left="425" w:leftChars="0" w:right="0" w:rightChars="0" w:hanging="425" w:firstLineChars="0"/>
        <w:jc w:val="both"/>
        <w:rPr>
          <w:rFonts w:hint="default" w:ascii="Times New Roman" w:hAnsi="Times New Roman"/>
          <w:b/>
          <w:bCs/>
          <w:color w:val="auto"/>
          <w:sz w:val="24"/>
          <w:szCs w:val="24"/>
        </w:rPr>
      </w:pPr>
      <w:r>
        <w:rPr>
          <w:rFonts w:hint="default" w:ascii="Times New Roman" w:hAnsi="Times New Roman"/>
          <w:b/>
          <w:bCs/>
          <w:color w:val="auto"/>
          <w:sz w:val="24"/>
          <w:szCs w:val="24"/>
        </w:rPr>
        <w:t>Selection of Academic Auditor for Accreditation Committee</w:t>
      </w:r>
    </w:p>
    <w:p w14:paraId="0A73C99F">
      <w:pPr>
        <w:numPr>
          <w:numId w:val="0"/>
        </w:numPr>
        <w:ind w:leftChars="0" w:right="0" w:rightChars="0"/>
        <w:jc w:val="both"/>
        <w:rPr>
          <w:rFonts w:hint="default" w:ascii="Times New Roman" w:hAnsi="Times New Roman"/>
          <w:b/>
          <w:bCs/>
          <w:color w:val="auto"/>
          <w:sz w:val="24"/>
          <w:szCs w:val="24"/>
        </w:rPr>
      </w:pPr>
    </w:p>
    <w:p w14:paraId="1AF098D2">
      <w:pPr>
        <w:keepNext w:val="0"/>
        <w:keepLines w:val="0"/>
        <w:pageBreakBefore w:val="0"/>
        <w:widowControl w:val="0"/>
        <w:numPr>
          <w:numId w:val="0"/>
        </w:numPr>
        <w:kinsoku/>
        <w:wordWrap/>
        <w:overflowPunct/>
        <w:topLinePunct w:val="0"/>
        <w:autoSpaceDE w:val="0"/>
        <w:autoSpaceDN w:val="0"/>
        <w:bidi w:val="0"/>
        <w:adjustRightInd/>
        <w:snapToGrid/>
        <w:ind w:left="660" w:leftChars="300" w:right="0" w:rightChars="0"/>
        <w:jc w:val="both"/>
        <w:textAlignment w:val="auto"/>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Commitment, professionalism and expertise are the basis of meaningful external quality assessment (EQA). In order to ensure the competence of the academic auditors BAC select potential auditors among the interested academics of the HEIs following a rigorous evaluation process. In the valuation process academic attainment, training and expertise in various aspects of quality assurance and accreditation are considered using a well- structured scoring guide (rubrics). BAC organizes training program for the selected academic auditors on BNQF, accreditation rules, accreditation standards and criteria, EQA, documentations and compliance assessment etc. Participation in the training programs is a prerequisite to be selected as academic auditor for Accreditation Committee.</w:t>
      </w:r>
    </w:p>
    <w:p w14:paraId="2C04B6A1">
      <w:pPr>
        <w:numPr>
          <w:numId w:val="0"/>
        </w:numPr>
        <w:ind w:leftChars="0" w:right="0" w:rightChars="0"/>
        <w:jc w:val="both"/>
        <w:rPr>
          <w:rFonts w:hint="default" w:ascii="Times New Roman" w:hAnsi="Times New Roman"/>
          <w:b w:val="0"/>
          <w:bCs w:val="0"/>
          <w:color w:val="auto"/>
          <w:sz w:val="24"/>
          <w:szCs w:val="24"/>
        </w:rPr>
      </w:pPr>
    </w:p>
    <w:p w14:paraId="2478E763">
      <w:pPr>
        <w:numPr>
          <w:ilvl w:val="0"/>
          <w:numId w:val="2"/>
        </w:numPr>
        <w:ind w:left="425" w:leftChars="0" w:right="0" w:righ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BAC Policy on Conflict of Interest and Confidentiality Management will be applicable for the Head and Members of the Accreditation Committees.</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Palatino Linotype">
    <w:panose1 w:val="02040502050505030304"/>
    <w:charset w:val="01"/>
    <w:family w:val="roman"/>
    <w:pitch w:val="default"/>
    <w:sig w:usb0="E0000287" w:usb1="40000013" w:usb2="00000000" w:usb3="00000000" w:csb0="2000019F" w:csb1="00000000"/>
  </w:font>
  <w:font w:name="Tw Cen MT">
    <w:panose1 w:val="020B0602020104020603"/>
    <w:charset w:val="00"/>
    <w:family w:val="auto"/>
    <w:pitch w:val="default"/>
    <w:sig w:usb0="00000003" w:usb1="00000000" w:usb2="00000000" w:usb3="00000000" w:csb0="20000003"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84E3CF"/>
    <w:multiLevelType w:val="multilevel"/>
    <w:tmpl w:val="A884E3CF"/>
    <w:lvl w:ilvl="0" w:tentative="0">
      <w:start w:val="1"/>
      <w:numFmt w:val="none"/>
      <w:lvlText w:val="2.9 "/>
      <w:lvlJc w:val="left"/>
      <w:pPr>
        <w:tabs>
          <w:tab w:val="left" w:pos="425"/>
        </w:tabs>
        <w:ind w:left="425" w:leftChars="0" w:hanging="425" w:firstLineChars="0"/>
      </w:pPr>
      <w:rPr>
        <w:rFonts w:hint="default"/>
      </w:rPr>
    </w:lvl>
    <w:lvl w:ilvl="1" w:tentative="0">
      <w:start w:val="1"/>
      <w:numFmt w:val="decimal"/>
      <w:lvlText w:val="%1.%2."/>
      <w:lvlJc w:val="left"/>
      <w:pPr>
        <w:tabs>
          <w:tab w:val="left" w:pos="850"/>
        </w:tabs>
        <w:ind w:left="850" w:leftChars="0" w:hanging="453" w:firstLineChars="0"/>
      </w:pPr>
      <w:rPr>
        <w:rFonts w:hint="default"/>
      </w:rPr>
    </w:lvl>
    <w:lvl w:ilvl="2" w:tentative="0">
      <w:start w:val="1"/>
      <w:numFmt w:val="decimal"/>
      <w:lvlText w:val="%1.%2.%3."/>
      <w:lvlJc w:val="left"/>
      <w:pPr>
        <w:tabs>
          <w:tab w:val="left" w:pos="1508"/>
        </w:tabs>
        <w:ind w:left="1508" w:leftChars="0" w:hanging="708" w:firstLineChars="0"/>
      </w:pPr>
      <w:rPr>
        <w:rFonts w:hint="default"/>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abstractNum w:abstractNumId="1">
    <w:nsid w:val="29827093"/>
    <w:multiLevelType w:val="singleLevel"/>
    <w:tmpl w:val="29827093"/>
    <w:lvl w:ilvl="0" w:tentative="0">
      <w:start w:val="1"/>
      <w:numFmt w:val="decimal"/>
      <w:lvlText w:val="%1."/>
      <w:lvlJc w:val="left"/>
      <w:pPr>
        <w:tabs>
          <w:tab w:val="left" w:pos="425"/>
        </w:tabs>
        <w:ind w:left="425" w:leftChars="0" w:hanging="425" w:firstLineChars="0"/>
      </w:pPr>
      <w:rPr>
        <w:rFonts w:hint="default"/>
        <w:b/>
        <w:bCs/>
      </w:rPr>
    </w:lvl>
  </w:abstractNum>
  <w:abstractNum w:abstractNumId="2">
    <w:nsid w:val="48029EE4"/>
    <w:multiLevelType w:val="singleLevel"/>
    <w:tmpl w:val="48029EE4"/>
    <w:lvl w:ilvl="0" w:tentative="0">
      <w:start w:val="1"/>
      <w:numFmt w:val="lowerRoman"/>
      <w:lvlText w:val="%1."/>
      <w:lvlJc w:val="left"/>
      <w:pPr>
        <w:tabs>
          <w:tab w:val="left" w:pos="425"/>
        </w:tabs>
        <w:ind w:left="425" w:leftChars="0" w:hanging="425" w:firstLineChars="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955A1F"/>
    <w:rsid w:val="07955A1F"/>
    <w:rsid w:val="307065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mbria" w:hAnsi="Cambria" w:eastAsia="Cambria" w:cs="Cambria"/>
      <w:sz w:val="22"/>
      <w:szCs w:val="22"/>
      <w:lang w:val="en-US" w:eastAsia="en-US" w:bidi="ar-SA"/>
    </w:rPr>
  </w:style>
  <w:style w:type="paragraph" w:styleId="2">
    <w:name w:val="heading 4"/>
    <w:basedOn w:val="1"/>
    <w:qFormat/>
    <w:uiPriority w:val="1"/>
    <w:pPr>
      <w:spacing w:before="47"/>
      <w:ind w:left="885" w:hanging="720"/>
      <w:outlineLvl w:val="4"/>
    </w:pPr>
    <w:rPr>
      <w:rFonts w:ascii="Palatino Linotype" w:hAnsi="Palatino Linotype" w:eastAsia="Palatino Linotype" w:cs="Palatino Linotype"/>
      <w:b/>
      <w:bCs/>
      <w:sz w:val="28"/>
      <w:szCs w:val="28"/>
      <w:lang w:val="en-US" w:eastAsia="en-US" w:bidi="ar-SA"/>
    </w:rPr>
  </w:style>
  <w:style w:type="paragraph" w:styleId="3">
    <w:name w:val="heading 5"/>
    <w:basedOn w:val="1"/>
    <w:qFormat/>
    <w:uiPriority w:val="1"/>
    <w:pPr>
      <w:spacing w:before="94"/>
      <w:ind w:left="741"/>
      <w:outlineLvl w:val="5"/>
    </w:pPr>
    <w:rPr>
      <w:rFonts w:ascii="Palatino Linotype" w:hAnsi="Palatino Linotype" w:eastAsia="Palatino Linotype" w:cs="Palatino Linotype"/>
      <w:b/>
      <w:bCs/>
      <w:sz w:val="24"/>
      <w:szCs w:val="24"/>
      <w:lang w:val="en-US" w:eastAsia="en-US" w:bidi="ar-SA"/>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ind w:left="1317"/>
    </w:pPr>
    <w:rPr>
      <w:rFonts w:ascii="Cambria" w:hAnsi="Cambria" w:eastAsia="Cambria" w:cs="Cambria"/>
      <w:sz w:val="24"/>
      <w:szCs w:val="24"/>
      <w:lang w:val="en-US" w:eastAsia="en-US" w:bidi="ar-SA"/>
    </w:rPr>
  </w:style>
  <w:style w:type="table" w:styleId="7">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qFormat/>
    <w:uiPriority w:val="1"/>
    <w:pPr>
      <w:spacing w:before="115"/>
      <w:ind w:left="1317" w:hanging="576"/>
    </w:pPr>
    <w:rPr>
      <w:rFonts w:ascii="Cambria" w:hAnsi="Cambria" w:eastAsia="Cambria" w:cs="Cambria"/>
      <w:lang w:val="en-US" w:eastAsia="en-US" w:bidi="ar-SA"/>
    </w:rPr>
  </w:style>
  <w:style w:type="paragraph" w:customStyle="1" w:styleId="9">
    <w:name w:val="Table Paragraph"/>
    <w:basedOn w:val="1"/>
    <w:qFormat/>
    <w:uiPriority w:val="1"/>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2025-09-25T12:00:00Z</dcterms:created>
  <dc:creator>eshra</dc:creator>
  <cp:lastModifiedBy>eshra</cp:lastModifiedBy>
  <dcterms:modified xsi:type="dcterms:W3CDTF">2025-09-25T12:14:48Z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C0FBA729C5DB4031A42F255AD6F143B5_13</vt:lpwstr>
  </property>
</Properties>
</file>