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63D2C">
      <w:pPr>
        <w:pStyle w:val="2"/>
        <w:numPr>
          <w:ilvl w:val="0"/>
          <w:numId w:val="1"/>
        </w:numPr>
        <w:tabs>
          <w:tab w:val="left" w:pos="885"/>
        </w:tabs>
        <w:spacing w:before="47" w:after="0" w:line="240" w:lineRule="auto"/>
        <w:ind w:left="425" w:leftChars="0" w:right="0" w:rightChars="0" w:hanging="425" w:firstLineChars="0"/>
        <w:jc w:val="left"/>
        <w:rPr>
          <w:rFonts w:hint="default" w:ascii="Times New Roman" w:hAnsi="Times New Roman"/>
          <w:b/>
          <w:bCs/>
          <w:color w:val="0070C0"/>
          <w:sz w:val="28"/>
          <w:szCs w:val="28"/>
        </w:rPr>
      </w:pPr>
      <w:r>
        <w:rPr>
          <w:rFonts w:hint="default" w:ascii="Times New Roman" w:hAnsi="Times New Roman"/>
          <w:b/>
          <w:bCs/>
          <w:color w:val="0070C0"/>
          <w:sz w:val="28"/>
          <w:szCs w:val="28"/>
          <w:lang w:val="en-US"/>
        </w:rPr>
        <w:t xml:space="preserve"> </w:t>
      </w:r>
      <w:r>
        <w:rPr>
          <w:rFonts w:hint="default" w:ascii="Times New Roman" w:hAnsi="Times New Roman"/>
          <w:b/>
          <w:bCs/>
          <w:color w:val="0070C0"/>
          <w:sz w:val="28"/>
          <w:szCs w:val="28"/>
        </w:rPr>
        <w:t>Self-Assessment Concept</w:t>
      </w:r>
      <w:r>
        <w:rPr>
          <w:rFonts w:hint="default" w:ascii="Times New Roman" w:hAnsi="Times New Roman"/>
          <w:b/>
          <w:bCs/>
          <w:color w:val="0070C0"/>
          <w:sz w:val="28"/>
          <w:szCs w:val="28"/>
          <w:lang w:val="en-US"/>
        </w:rPr>
        <w:t xml:space="preserve">  </w:t>
      </w:r>
    </w:p>
    <w:p w14:paraId="6982B76D">
      <w:pPr>
        <w:pStyle w:val="2"/>
        <w:widowControl w:val="0"/>
        <w:numPr>
          <w:numId w:val="0"/>
        </w:numPr>
        <w:tabs>
          <w:tab w:val="left" w:pos="885"/>
        </w:tabs>
        <w:autoSpaceDE w:val="0"/>
        <w:autoSpaceDN w:val="0"/>
        <w:spacing w:before="47" w:after="0" w:line="240" w:lineRule="auto"/>
        <w:ind w:right="0" w:rightChars="0"/>
        <w:jc w:val="left"/>
        <w:outlineLvl w:val="4"/>
        <w:rPr>
          <w:rFonts w:hint="default" w:ascii="Times New Roman" w:hAnsi="Times New Roman"/>
          <w:b/>
          <w:bCs/>
          <w:color w:val="0070C0"/>
          <w:sz w:val="28"/>
          <w:szCs w:val="28"/>
          <w:lang w:val="en-US"/>
        </w:rPr>
      </w:pPr>
    </w:p>
    <w:p w14:paraId="1FD25B8C">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Appropriateness of institutional capacity and process are very critical to facilitate the attainment of learning outcomes by the students. Self-assessment means a systematic assessment of the edu</w:t>
      </w:r>
      <w:bookmarkStart w:id="0" w:name="_GoBack"/>
      <w:bookmarkEnd w:id="0"/>
      <w:r>
        <w:rPr>
          <w:rFonts w:hint="default" w:ascii="Times New Roman" w:hAnsi="Times New Roman"/>
          <w:b w:val="0"/>
          <w:bCs w:val="0"/>
          <w:color w:val="auto"/>
          <w:sz w:val="24"/>
          <w:szCs w:val="24"/>
          <w:lang w:val="en-US"/>
        </w:rPr>
        <w:t>cational process and capacity of the HEI/POE. The HEI/POE shall carryout the self-assessment to assess the appropriateness and adequacy of the educational process and capacity to meet the objectives and outcomes with the purpose of continual improvement. It is an effective approach to identify the strengths, weaknesses, opportunities and threats (SWOT) of the higher education institution/program and set benchmark for the purpose of further improvement. Self-Assessment consists of:</w:t>
      </w:r>
    </w:p>
    <w:p w14:paraId="564619D7">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p>
    <w:p w14:paraId="0C6D1040">
      <w:pPr>
        <w:pStyle w:val="2"/>
        <w:numPr>
          <w:ilvl w:val="0"/>
          <w:numId w:val="2"/>
        </w:numPr>
        <w:tabs>
          <w:tab w:val="left" w:pos="885"/>
          <w:tab w:val="clear" w:pos="420"/>
        </w:tabs>
        <w:spacing w:before="47" w:after="0" w:line="240" w:lineRule="auto"/>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systematic collection of information from the stakeholders using structured questionnaire on the identified quality assurance aspects, standards and criteria;</w:t>
      </w:r>
    </w:p>
    <w:p w14:paraId="17D012F2">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p>
    <w:p w14:paraId="667974E6">
      <w:pPr>
        <w:pStyle w:val="2"/>
        <w:numPr>
          <w:ilvl w:val="0"/>
          <w:numId w:val="2"/>
        </w:numPr>
        <w:tabs>
          <w:tab w:val="left" w:pos="885"/>
          <w:tab w:val="clear" w:pos="420"/>
        </w:tabs>
        <w:spacing w:before="47" w:after="0" w:line="240" w:lineRule="auto"/>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Collection of document and evidence of good practices to meet the needs of the accreditation standards and criteria;</w:t>
      </w:r>
    </w:p>
    <w:p w14:paraId="3BEB40BC">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p>
    <w:p w14:paraId="1A91B2FB">
      <w:pPr>
        <w:pStyle w:val="2"/>
        <w:numPr>
          <w:ilvl w:val="0"/>
          <w:numId w:val="2"/>
        </w:numPr>
        <w:tabs>
          <w:tab w:val="left" w:pos="885"/>
          <w:tab w:val="clear" w:pos="420"/>
        </w:tabs>
        <w:spacing w:before="47" w:after="0" w:line="240" w:lineRule="auto"/>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meaningful analysis and evaluation of collected information, document of evidences considering the purposes of self-assessment;</w:t>
      </w:r>
    </w:p>
    <w:p w14:paraId="1431879B">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p>
    <w:p w14:paraId="123A28A5">
      <w:pPr>
        <w:pStyle w:val="2"/>
        <w:numPr>
          <w:ilvl w:val="0"/>
          <w:numId w:val="2"/>
        </w:numPr>
        <w:tabs>
          <w:tab w:val="left" w:pos="885"/>
          <w:tab w:val="clear" w:pos="420"/>
        </w:tabs>
        <w:spacing w:before="47" w:after="0" w:line="240" w:lineRule="auto"/>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description of the current status of standards and criteria as statement of requirements to be met for quality assurance;</w:t>
      </w:r>
    </w:p>
    <w:p w14:paraId="537877B3">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p>
    <w:p w14:paraId="69795458">
      <w:pPr>
        <w:pStyle w:val="2"/>
        <w:numPr>
          <w:ilvl w:val="0"/>
          <w:numId w:val="2"/>
        </w:numPr>
        <w:tabs>
          <w:tab w:val="left" w:pos="885"/>
          <w:tab w:val="clear" w:pos="420"/>
        </w:tabs>
        <w:spacing w:before="47" w:after="0" w:line="240" w:lineRule="auto"/>
        <w:ind w:left="420" w:leftChars="0" w:right="0" w:righ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improvement plan addressing lapses and gaps.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6747D5"/>
    <w:multiLevelType w:val="singleLevel"/>
    <w:tmpl w:val="DE6747D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1ABC671E"/>
    <w:multiLevelType w:val="multilevel"/>
    <w:tmpl w:val="1ABC671E"/>
    <w:lvl w:ilvl="0" w:tentative="0">
      <w:start w:val="1"/>
      <w:numFmt w:val="none"/>
      <w:lvlText w:val="4.1 "/>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 w:val="164D4C9B"/>
    <w:rsid w:val="2D300A31"/>
    <w:rsid w:val="2E521E0D"/>
    <w:rsid w:val="30706524"/>
    <w:rsid w:val="3C371C58"/>
    <w:rsid w:val="3E1B04D1"/>
    <w:rsid w:val="40623791"/>
    <w:rsid w:val="4B820249"/>
    <w:rsid w:val="5636772C"/>
    <w:rsid w:val="5B0E3887"/>
    <w:rsid w:val="5F1D7F2B"/>
    <w:rsid w:val="7B1A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115"/>
      <w:ind w:left="1317" w:hanging="576"/>
    </w:pPr>
    <w:rPr>
      <w:rFonts w:ascii="Cambria" w:hAnsi="Cambria" w:eastAsia="Cambria" w:cs="Cambria"/>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2025-09-25T13:35:05Z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E210FECFC0CE4E2A8D1F20CA14307EB3_13</vt:lpwstr>
  </property>
</Properties>
</file>