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B0470">
      <w:pPr>
        <w:numPr>
          <w:ilvl w:val="0"/>
          <w:numId w:val="1"/>
        </w:numPr>
        <w:ind w:left="425" w:leftChars="0" w:right="0" w:rightChars="0" w:hanging="425" w:firstLineChars="0"/>
        <w:rPr>
          <w:rFonts w:hint="default" w:ascii="Times New Roman" w:hAnsi="Times New Roman"/>
          <w:b/>
          <w:bCs/>
          <w:color w:val="0070C0"/>
          <w:sz w:val="28"/>
          <w:szCs w:val="28"/>
        </w:rPr>
      </w:pPr>
      <w:bookmarkStart w:id="0" w:name="_GoBack"/>
      <w:r>
        <w:rPr>
          <w:rFonts w:hint="default" w:ascii="Times New Roman" w:hAnsi="Times New Roman"/>
          <w:b/>
          <w:bCs/>
          <w:color w:val="0070C0"/>
          <w:sz w:val="28"/>
          <w:szCs w:val="28"/>
        </w:rPr>
        <w:t>Self-Assessment Report</w:t>
      </w:r>
    </w:p>
    <w:bookmarkEnd w:id="0"/>
    <w:p w14:paraId="74DB7FBD">
      <w:pPr>
        <w:numPr>
          <w:numId w:val="0"/>
        </w:numPr>
        <w:ind w:leftChars="0" w:right="0" w:rightChars="0"/>
        <w:rPr>
          <w:rFonts w:hint="default" w:ascii="Times New Roman" w:hAnsi="Times New Roman"/>
          <w:b/>
          <w:bCs/>
          <w:color w:val="0070C0"/>
          <w:sz w:val="28"/>
          <w:szCs w:val="28"/>
        </w:rPr>
      </w:pPr>
    </w:p>
    <w:p w14:paraId="6E0D27D1">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Self-Assessment Report (SAR) shows the level of compliance with specific comments on the current status of accreditation standards and criteria. It will be used as the core document for the purpose of external quality assessment and accreditation. The SAR should be prepared following the BAC guidelines and format.</w:t>
      </w:r>
    </w:p>
    <w:p w14:paraId="12B259A6">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6ED8946E">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bCs/>
          <w:color w:val="auto"/>
          <w:sz w:val="24"/>
          <w:szCs w:val="24"/>
          <w:lang w:val="en-US"/>
        </w:rPr>
      </w:pPr>
      <w:r>
        <w:rPr>
          <w:rFonts w:hint="default" w:ascii="Times New Roman" w:hAnsi="Times New Roman"/>
          <w:b/>
          <w:bCs/>
          <w:color w:val="auto"/>
          <w:sz w:val="24"/>
          <w:szCs w:val="24"/>
          <w:lang w:val="en-US"/>
        </w:rPr>
        <w:t>Guidelines for Preparing SAR</w:t>
      </w:r>
    </w:p>
    <w:p w14:paraId="60EDD44F">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bCs/>
          <w:color w:val="auto"/>
          <w:sz w:val="24"/>
          <w:szCs w:val="24"/>
          <w:lang w:val="en-US"/>
        </w:rPr>
      </w:pPr>
    </w:p>
    <w:p w14:paraId="6C5BACF9">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SAR should contain general information about the HEI, POE and the program under assessment;</w:t>
      </w:r>
    </w:p>
    <w:p w14:paraId="2989CB16">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776C94C6">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SAR should be written following SAR format of the Council;</w:t>
      </w:r>
    </w:p>
    <w:p w14:paraId="0072913B">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5EA5DFF8">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Contents and arguments in the SAR should be limited to the facts relevant to accreditation standards and criteria;</w:t>
      </w:r>
    </w:p>
    <w:p w14:paraId="66525062">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0B0EFB0F">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SAR should contain clearly written statement on the current status of each of the BAC accreditation standards and criteria;</w:t>
      </w:r>
    </w:p>
    <w:p w14:paraId="140B3E6B">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49D81E05">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SAR should provide sufficient information to assess the level of compliance with the BAC accreditation standards and criteria and comments on the preparedness in meeting the accreditation requirements;</w:t>
      </w:r>
    </w:p>
    <w:p w14:paraId="13128BD1">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5BEA33EE">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SAR should explore the strengths, weaknesses, opportunities and threats to the POE and program under assessment for accreditation;</w:t>
      </w:r>
    </w:p>
    <w:p w14:paraId="3EC88CA1">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56CEAF4E">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SAR should be supported by documental evidences and survey data as required for specific criterion;</w:t>
      </w:r>
    </w:p>
    <w:p w14:paraId="532BE60B">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30D6BF25">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SAR should be written in clear and concise language and formatted in such a way so that readers can understand and follow the contents with ease;</w:t>
      </w:r>
    </w:p>
    <w:p w14:paraId="3693D93C">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504B2576">
      <w:pPr>
        <w:widowControl w:val="0"/>
        <w:numPr>
          <w:ilvl w:val="0"/>
          <w:numId w:val="2"/>
        </w:numPr>
        <w:autoSpaceDE w:val="0"/>
        <w:autoSpaceDN w:val="0"/>
        <w:spacing w:before="0" w:after="0" w:line="240" w:lineRule="auto"/>
        <w:ind w:left="425" w:leftChars="0" w:right="0" w:rightChars="0" w:hanging="425" w:firstLineChars="0"/>
        <w:jc w:val="both"/>
        <w:rPr>
          <w:rFonts w:hint="default" w:ascii="Times New Roman" w:hAnsi="Times New Roman"/>
          <w:b w:val="0"/>
          <w:bCs w:val="0"/>
          <w:color w:val="auto"/>
          <w:sz w:val="24"/>
          <w:szCs w:val="24"/>
          <w:lang w:val="en-US"/>
        </w:rPr>
      </w:pPr>
      <w:r>
        <w:rPr>
          <w:rFonts w:hint="default" w:ascii="Times New Roman" w:hAnsi="Times New Roman"/>
          <w:b w:val="0"/>
          <w:bCs w:val="0"/>
          <w:color w:val="auto"/>
          <w:sz w:val="24"/>
          <w:szCs w:val="24"/>
          <w:lang w:val="en-US"/>
        </w:rPr>
        <w:t>The SAR should be limited to 15,000 (Fifteen Thousand) words other than exhibits.</w:t>
      </w:r>
    </w:p>
    <w:p w14:paraId="55484423">
      <w:pPr>
        <w:widowControl w:val="0"/>
        <w:numPr>
          <w:numId w:val="0"/>
        </w:numPr>
        <w:tabs>
          <w:tab w:val="left" w:pos="425"/>
        </w:tabs>
        <w:autoSpaceDE w:val="0"/>
        <w:autoSpaceDN w:val="0"/>
        <w:spacing w:before="0" w:after="0" w:line="240" w:lineRule="auto"/>
        <w:ind w:right="0" w:rightChars="0"/>
        <w:jc w:val="both"/>
        <w:rPr>
          <w:rFonts w:hint="default" w:ascii="Times New Roman" w:hAnsi="Times New Roman"/>
          <w:b w:val="0"/>
          <w:bCs w:val="0"/>
          <w:color w:val="auto"/>
          <w:sz w:val="24"/>
          <w:szCs w:val="24"/>
          <w:lang w:val="en-US"/>
        </w:rPr>
      </w:pPr>
    </w:p>
    <w:p w14:paraId="3C05F3CE">
      <w:pPr>
        <w:widowControl w:val="0"/>
        <w:numPr>
          <w:numId w:val="0"/>
        </w:numPr>
        <w:autoSpaceDE w:val="0"/>
        <w:autoSpaceDN w:val="0"/>
        <w:spacing w:before="0" w:after="0" w:line="240" w:lineRule="auto"/>
        <w:ind w:leftChars="0" w:right="0" w:rightChars="0"/>
        <w:jc w:val="both"/>
        <w:rPr>
          <w:rFonts w:hint="default" w:ascii="Times New Roman" w:hAnsi="Times New Roman" w:cs="Times New Roman"/>
          <w:b w:val="0"/>
          <w:bCs w:val="0"/>
          <w:color w:val="auto"/>
          <w:sz w:val="24"/>
          <w:szCs w:val="24"/>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Palatino Linotype">
    <w:panose1 w:val="02040502050505030304"/>
    <w:charset w:val="01"/>
    <w:family w:val="roman"/>
    <w:pitch w:val="default"/>
    <w:sig w:usb0="E0000287" w:usb1="40000013" w:usb2="00000000" w:usb3="00000000" w:csb0="200001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336973"/>
    <w:multiLevelType w:val="singleLevel"/>
    <w:tmpl w:val="E7336973"/>
    <w:lvl w:ilvl="0" w:tentative="0">
      <w:start w:val="1"/>
      <w:numFmt w:val="decimal"/>
      <w:lvlText w:val="%1."/>
      <w:lvlJc w:val="left"/>
      <w:pPr>
        <w:tabs>
          <w:tab w:val="left" w:pos="425"/>
        </w:tabs>
        <w:ind w:left="425" w:leftChars="0" w:hanging="425" w:firstLineChars="0"/>
      </w:pPr>
      <w:rPr>
        <w:rFonts w:hint="default"/>
      </w:rPr>
    </w:lvl>
  </w:abstractNum>
  <w:abstractNum w:abstractNumId="1">
    <w:nsid w:val="0983E908"/>
    <w:multiLevelType w:val="multilevel"/>
    <w:tmpl w:val="0983E908"/>
    <w:lvl w:ilvl="0" w:tentative="0">
      <w:start w:val="1"/>
      <w:numFmt w:val="none"/>
      <w:lvlText w:val="4.5 "/>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E9739F"/>
    <w:rsid w:val="04653F41"/>
    <w:rsid w:val="051E4C61"/>
    <w:rsid w:val="11E9739F"/>
    <w:rsid w:val="2F736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4"/>
    <w:basedOn w:val="1"/>
    <w:qFormat/>
    <w:uiPriority w:val="1"/>
    <w:pPr>
      <w:spacing w:before="47"/>
      <w:ind w:left="885" w:hanging="720"/>
      <w:outlineLvl w:val="4"/>
    </w:pPr>
    <w:rPr>
      <w:rFonts w:ascii="Palatino Linotype" w:hAnsi="Palatino Linotype" w:eastAsia="Palatino Linotype" w:cs="Palatino Linotype"/>
      <w:b/>
      <w:bCs/>
      <w:sz w:val="28"/>
      <w:szCs w:val="28"/>
      <w:lang w:val="en-US" w:eastAsia="en-US" w:bidi="ar-SA"/>
    </w:rPr>
  </w:style>
  <w:style w:type="paragraph" w:styleId="3">
    <w:name w:val="heading 5"/>
    <w:basedOn w:val="1"/>
    <w:qFormat/>
    <w:uiPriority w:val="1"/>
    <w:pPr>
      <w:spacing w:before="94"/>
      <w:ind w:left="741"/>
      <w:outlineLvl w:val="5"/>
    </w:pPr>
    <w:rPr>
      <w:rFonts w:ascii="Palatino Linotype" w:hAnsi="Palatino Linotype" w:eastAsia="Palatino Linotype" w:cs="Palatino Linotype"/>
      <w:b/>
      <w:bCs/>
      <w:sz w:val="24"/>
      <w:szCs w:val="24"/>
      <w:lang w:val="en-US" w:eastAsia="en-US" w:bidi="ar-SA"/>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ind w:left="1317"/>
    </w:pPr>
    <w:rPr>
      <w:rFonts w:ascii="Cambria" w:hAnsi="Cambria" w:eastAsia="Cambria" w:cs="Cambria"/>
      <w:sz w:val="24"/>
      <w:szCs w:val="24"/>
      <w:lang w:val="en-US" w:eastAsia="en-US" w:bidi="ar-SA"/>
    </w:rPr>
  </w:style>
  <w:style w:type="paragraph" w:styleId="7">
    <w:name w:val="List Paragraph"/>
    <w:basedOn w:val="1"/>
    <w:qFormat/>
    <w:uiPriority w:val="1"/>
    <w:pPr>
      <w:spacing w:before="115"/>
      <w:ind w:left="1317" w:hanging="576"/>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2025-09-25T13:36:00Z</dcterms:created>
  <dc:creator>eshra</dc:creator>
  <cp:lastModifiedBy>eshra</cp:lastModifiedBy>
  <dcterms:modified xsi:type="dcterms:W3CDTF">2025-09-25T13:58:44Z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C547DF3B146D488EA3F29D8E8FA3B616_13</vt:lpwstr>
  </property>
</Properties>
</file>