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Demo Script: Purchase-Intent Prediction (4-Minute Screen Recording)</w:t>
      </w:r>
    </w:p>
    <w:p>
      <w:pPr/>
      <w:r>
        <w:t xml:space="preserve">Speaking time about 4:00 (roughly 600 words at a calm pace) · Read the Say lines in your own words; the numbers must stay exact.</w:t>
      </w:r>
    </w:p>
    <w:p>
      <w:pPr>
        <w:pStyle w:val="Heading2"/>
      </w:pPr>
      <w:r>
        <w:t xml:space="preserve">Before you record</w:t>
      </w:r>
    </w:p>
    <w:p>
      <w:pPr>
        <w:pStyle w:val="ListParagraph"/>
        <w:numPr>
          <w:ilvl w:val="0"/>
          <w:numId w:val="2"/>
        </w:numPr>
      </w:pPr>
      <w:r>
        <w:t xml:space="preserve">Start the API with </w:t>
      </w:r>
      <w:r>
        <w:rPr>
          <w:rStyle w:val="CodeChar"/>
        </w:rPr>
        <w:t xml:space="preserve">uvicorn src.api.main:app --port 8000</w:t>
      </w:r>
      <w:r>
        <w:t xml:space="preserve"> and the dashboard with </w:t>
      </w:r>
      <w:r>
        <w:rPr>
          <w:rStyle w:val="CodeChar"/>
        </w:rPr>
        <w:t xml:space="preserve">streamlit run dashboard/app.py</w:t>
      </w:r>
      <w:r>
        <w:t xml:space="preserve">. Open the dashboard and http://localhost:8000/docs in two browser tabs, and close everything else.</w:t>
      </w:r>
    </w:p>
    <w:p>
      <w:pPr>
        <w:pStyle w:val="ListParagraph"/>
        <w:numPr>
          <w:ilvl w:val="0"/>
          <w:numId w:val="2"/>
        </w:numPr>
      </w:pPr>
      <w:r>
        <w:t xml:space="preserve">Zoom the browser to 125% so text is readable in the recording, and silence notifications.</w:t>
      </w:r>
    </w:p>
    <w:p>
      <w:pPr>
        <w:pStyle w:val="ListParagraph"/>
        <w:numPr>
          <w:ilvl w:val="0"/>
          <w:numId w:val="2"/>
        </w:numPr>
      </w:pPr>
      <w:r>
        <w:t xml:space="preserve">Do one full dry run. The first scoring request after startup is the slowest, so score once before recording.</w:t>
      </w:r>
    </w:p>
    <w:p>
      <w:pPr>
        <w:pStyle w:val="ListParagraph"/>
        <w:numPr>
          <w:ilvl w:val="0"/>
          <w:numId w:val="2"/>
        </w:numPr>
      </w:pPr>
      <w:r>
        <w:t xml:space="preserve">Have the example session ready on the Live scoring page (the form's default values already are the example: a returning visitor in November with 25 product pages and PageValues 20).</w:t>
      </w:r>
    </w:p>
    <w:p>
      <w:pPr>
        <w:pStyle w:val="ListParagraph"/>
        <w:numPr>
          <w:ilvl w:val="0"/>
          <w:numId w:val="2"/>
        </w:numPr>
      </w:pPr>
      <w:r>
        <w:t xml:space="preserve">Optional: add a short Power BI walkthrough if your course asks for it. This script covers the machine-learning project only.</w:t>
      </w:r>
    </w:p>
    <w:p>
      <w:pPr>
        <w:pStyle w:val="Heading2"/>
      </w:pPr>
      <w:r>
        <w:t xml:space="preserve">Script</w:t>
      </w:r>
    </w:p>
    <w:p>
      <w:pPr>
        <w:pStyle w:val="Heading3"/>
      </w:pPr>
      <w:r>
        <w:t xml:space="preserve">0:00 to 0:30 The problem</w:t>
      </w:r>
    </w:p>
    <w:p>
      <w:pPr/>
      <w:r>
        <w:rPr>
          <w:b/>
        </w:rPr>
        <w:t xml:space="preserve">On screen:</w:t>
      </w:r>
      <w:r>
        <w:t xml:space="preserve"> Dashboard Overview page (conversion rate and session count visible).</w:t>
      </w:r>
    </w:p>
    <w:p>
      <w:pPr/>
      <w:r>
        <w:rPr>
          <w:b/>
        </w:rPr>
        <w:t xml:space="preserve">Say:</w:t>
      </w:r>
      <w:r>
        <w:t xml:space="preserve"> “This project predicts whether an online shopping session will end in a purchase, so a retailer can spend on discounts only where they matter. The catch is imbalance: only 15.7% of the 12,000 sessions convert. A model that always says no purchase would be 84% accurate and find zero buyers, so I judge the work on PR-AUC and recall on buyers, not accuracy.”</w:t>
      </w:r>
    </w:p>
    <w:p>
      <w:pPr>
        <w:pStyle w:val="Heading3"/>
      </w:pPr>
      <w:r>
        <w:t xml:space="preserve">0:30 to 1:15 Models and the threshold</w:t>
      </w:r>
    </w:p>
    <w:p>
      <w:pPr/>
      <w:r>
        <w:rPr>
          <w:b/>
        </w:rPr>
        <w:t xml:space="preserve">On screen:</w:t>
      </w:r>
      <w:r>
        <w:t xml:space="preserve"> Model comparison page. Point at the table, then the bar chart, then scroll to the value curve with the dashed line.</w:t>
      </w:r>
    </w:p>
    <w:p>
      <w:pPr/>
      <w:r>
        <w:rPr>
          <w:b/>
        </w:rPr>
        <w:t xml:space="preserve">Say:</w:t>
      </w:r>
      <w:r>
        <w:t xml:space="preserve"> “I compared six models with stratified cross-validation, and all preprocessing is fitted inside each fold so nothing leaks. CatBoost came out best with a test PR-AUC of 0.869, but the top models are close, and plain logistic regression is only about 0.02 behind. The threshold is the more important decision. I did not use 0.5. Each nudge costs $2 and a captured buyer is worth about $15 in expectation, so this curve shows expected net value at every threshold, and it peaks at 0.38. There the model catches 96% of buyers with 56% precision. Those business numbers are assumptions I set in one config file.”</w:t>
      </w:r>
    </w:p>
    <w:p>
      <w:pPr>
        <w:pStyle w:val="Heading3"/>
      </w:pPr>
      <w:r>
        <w:t xml:space="preserve">1:15 to 2:15 Live scoring and explanation</w:t>
      </w:r>
    </w:p>
    <w:p>
      <w:pPr/>
      <w:r>
        <w:rPr>
          <w:b/>
        </w:rPr>
        <w:t xml:space="preserve">On screen:</w:t>
      </w:r>
      <w:r>
        <w:t xml:space="preserve"> Live scoring page. Click Score session with the default values. Point at the metrics, the SHAP bar chart, then expand the LIME section.</w:t>
      </w:r>
    </w:p>
    <w:p>
      <w:pPr/>
      <w:r>
        <w:rPr>
          <w:b/>
        </w:rPr>
        <w:t xml:space="preserve">Say:</w:t>
      </w:r>
      <w:r>
        <w:t xml:space="preserve"> “Here is a returning visitor in November with 25 product pages. The model scores it 0.71, a likely purchase, with high confidence, meaning it is far from the threshold. Treat this as a risk score rather than a literal probability, because class weighting pushes scores up. The bar chart is the SHAP explanation: PageValues pushes strongly toward a purchase, and a few other behaviours pull slightly the other way. LIME is an independent explanation of the same session, and when both agree on the top drivers I trust the explanation more.”</w:t>
      </w:r>
    </w:p>
    <w:p>
      <w:pPr/>
      <w:r>
        <w:rPr>
          <w:b/>
        </w:rPr>
        <w:t xml:space="preserve">On screen (optional, 10 seconds):</w:t>
      </w:r>
      <w:r>
        <w:t xml:space="preserve"> Change to a low-intent session (0 administrative pages, 3 product pages, 40 seconds, bounce 0.15, exit 0.2, PageValues 0, New visitor, June) and score it. Expect a score close to zero with PageValues and ExitRates as the main negative drivers.</w:t>
      </w:r>
    </w:p>
    <w:p>
      <w:pPr>
        <w:pStyle w:val="Heading3"/>
      </w:pPr>
      <w:r>
        <w:t xml:space="preserve">2:15 to 3:00 The API</w:t>
      </w:r>
    </w:p>
    <w:p>
      <w:pPr/>
      <w:r>
        <w:rPr>
          <w:b/>
        </w:rPr>
        <w:t xml:space="preserve">On screen:</w:t>
      </w:r>
      <w:r>
        <w:t xml:space="preserve"> API docs tab. Open GET /health and execute it. Then POST /predict, Try it out, Execute with the example body. Finally change BounceRates to 5 and execute again.</w:t>
      </w:r>
    </w:p>
    <w:p>
      <w:pPr/>
      <w:r>
        <w:rPr>
          <w:b/>
        </w:rPr>
        <w:t xml:space="preserve">Say:</w:t>
      </w:r>
      <w:r>
        <w:t xml:space="preserve"> “The same model is served through a FastAPI service. The health endpoint confirms the model loaded once at startup. Posting a session returns the prediction, score, confidence and the top contributing behaviours. If I send an invalid value, such as a bounce rate of 5, the API rejects it with a 422 instead of guessing. Unseen categories, like a new region ID, are handled safely, and the API uses the exact same saved pipeline as training, so there is no train-serve skew.”</w:t>
      </w:r>
    </w:p>
    <w:p>
      <w:pPr>
        <w:pStyle w:val="Heading3"/>
      </w:pPr>
      <w:r>
        <w:t xml:space="preserve">3:00 to 3:45 The caveat I would flag before deploying</w:t>
      </w:r>
    </w:p>
    <w:p>
      <w:pPr/>
      <w:r>
        <w:rPr>
          <w:b/>
        </w:rPr>
        <w:t xml:space="preserve">On screen:</w:t>
      </w:r>
      <w:r>
        <w:t xml:space="preserve"> Back in Live scoring, set PageValues to 0 on the example session and score again (the score falls from about 0.71 to about 0.002). Then open the Explainability page and point at the ablation message.</w:t>
      </w:r>
    </w:p>
    <w:p>
      <w:pPr/>
      <w:r>
        <w:rPr>
          <w:b/>
        </w:rPr>
        <w:t xml:space="preserve">Say:</w:t>
      </w:r>
      <w:r>
        <w:t xml:space="preserve"> “Now the most important caveat. This is the same session, but I set PageValues to zero, and the score collapses. In this data every buyer has PageValues above zero, and the metric partly reflects pages seen close to checkout. Retrained without it, PR-AUC falls from 0.87 to 0.55. So whether the model is usable depends on when you score. I kept PageValues because the intended use is sessions already in progress. If the business wants to act early in a visit, it should be switched off, and the honest performance is the lower number.”</w:t>
      </w:r>
    </w:p>
    <w:p>
      <w:pPr>
        <w:pStyle w:val="Heading3"/>
      </w:pPr>
      <w:r>
        <w:t xml:space="preserve">3:45 to 4:00 Wrap-up</w:t>
      </w:r>
    </w:p>
    <w:p>
      <w:pPr/>
      <w:r>
        <w:rPr>
          <w:b/>
        </w:rPr>
        <w:t xml:space="preserve">On screen:</w:t>
      </w:r>
      <w:r>
        <w:t xml:space="preserve"> Repository file tree, then the CI tab or terminal showing tests passing.</w:t>
      </w:r>
    </w:p>
    <w:p>
      <w:pPr/>
      <w:r>
        <w:rPr>
          <w:b/>
        </w:rPr>
        <w:t xml:space="preserve">Say:</w:t>
      </w:r>
      <w:r>
        <w:t xml:space="preserve"> “Everything is reproducible: one config file, fixed seeds, 13 automated tests, Docker files and a CI workflow. [Say the CI and Docker parts only once you have confirmed them working.] Next steps are calibrating the scores and replacing my cost assumptions with real business numbers. Thank you.”</w:t>
      </w:r>
    </w:p>
    <w:p>
      <w:pPr>
        <w:pStyle w:val="Heading2"/>
      </w:pPr>
      <w:r>
        <w:t xml:space="preserve">If something goes wrong</w:t>
      </w:r>
    </w:p>
    <w:p>
      <w:pPr>
        <w:pStyle w:val="ListParagraph"/>
        <w:numPr>
          <w:ilvl w:val="0"/>
          <w:numId w:val="3"/>
        </w:numPr>
      </w:pPr>
      <w:r>
        <w:rPr>
          <w:b/>
        </w:rPr>
        <w:t xml:space="preserve">Running long:</w:t>
      </w:r>
      <w:r>
        <w:t xml:space="preserve"> drop the optional low-intent session and the LIME expansion; cut the API segment to /predict only.</w:t>
      </w:r>
    </w:p>
    <w:p>
      <w:pPr>
        <w:pStyle w:val="ListParagraph"/>
        <w:numPr>
          <w:ilvl w:val="0"/>
          <w:numId w:val="3"/>
        </w:numPr>
      </w:pPr>
      <w:r>
        <w:rPr>
          <w:b/>
        </w:rPr>
        <w:t xml:space="preserve">Running short:</w:t>
      </w:r>
      <w:r>
        <w:t xml:space="preserve"> open the SHAP summary image on the Explainability page and name the top three features.</w:t>
      </w:r>
    </w:p>
    <w:p>
      <w:pPr>
        <w:pStyle w:val="ListParagraph"/>
        <w:numPr>
          <w:ilvl w:val="0"/>
          <w:numId w:val="3"/>
        </w:numPr>
      </w:pPr>
      <w:r>
        <w:rPr>
          <w:b/>
        </w:rPr>
        <w:t xml:space="preserve">A page errors:</w:t>
      </w:r>
      <w:r>
        <w:t xml:space="preserve"> confirm the model files exist in the models folder; if not, run </w:t>
      </w:r>
      <w:r>
        <w:rPr>
          <w:rStyle w:val="CodeChar"/>
        </w:rPr>
        <w:t xml:space="preserve">python -m src.models.train</w:t>
      </w:r>
      <w:r>
        <w:t xml:space="preserve"> first.</w:t>
      </w:r>
    </w:p>
    <w:p>
      <w:pPr>
        <w:pStyle w:val="ListParagraph"/>
        <w:numPr>
          <w:ilvl w:val="0"/>
          <w:numId w:val="3"/>
        </w:numPr>
      </w:pPr>
      <w:r>
        <w:rPr>
          <w:b/>
        </w:rPr>
        <w:t xml:space="preserve">Do not say:</w:t>
      </w:r>
      <w:r>
        <w:t xml:space="preserve"> that the score is a calibrated probability, that SHAP proves a nudge will work, or that the dollar figures are real revenue.</w:t>
      </w:r>
    </w:p>
    <w:p>
      <w:pPr>
        <w:pStyle w:val="Heading2"/>
      </w:pPr>
      <w:r>
        <w:t xml:space="preserve">Numbers you may quote (all from this project)</w:t>
      </w:r>
    </w:p>
    <w:tbl>
      <w:tblPr>
        <w:tblStyle w:val="TableGrid"/>
        <w:tblW w:w="0" w:type="auto"/>
        <w:tblLayout w:type="fixed"/>
        <w:tblLook w:val="04A0" w:firstRow="1" w:lastRow="0" w:firstColumn="0" w:lastColumn="0" w:noHBand="0" w:noVBand="1"/>
      </w:tblPr>
      <w:tblGrid>
        <w:gridCol w:w="4030"/>
        <w:gridCol w:w="5329"/>
      </w:tblGrid>
      <w:tr>
        <w:trPr>
          <w:tblHeader/>
        </w:trPr>
        <w:tc>
          <w:tcPr>
            <w:tcW w:w="4030" w:type="dxa"/>
            <w:shd w:val="clear" w:color="auto" w:fill="F2F2F2"/>
          </w:tcPr>
          <w:p>
            <w:pPr/>
            <w:r>
              <w:t xml:space="preserve">Fact</w:t>
            </w:r>
          </w:p>
        </w:tc>
        <w:tc>
          <w:tcPr>
            <w:tcW w:w="5329" w:type="dxa"/>
            <w:shd w:val="clear" w:color="auto" w:fill="F2F2F2"/>
          </w:tcPr>
          <w:p>
            <w:pPr/>
            <w:r>
              <w:t xml:space="preserve">Value</w:t>
            </w:r>
          </w:p>
        </w:tc>
      </w:tr>
      <w:tr>
        <w:tc>
          <w:tcPr>
            <w:tcW w:w="4030" w:type="dxa"/>
          </w:tcPr>
          <w:p>
            <w:pPr/>
            <w:r>
              <w:t xml:space="preserve">Sessions and buyer rate</w:t>
            </w:r>
          </w:p>
        </w:tc>
        <w:tc>
          <w:tcPr>
            <w:tcW w:w="5329" w:type="dxa"/>
          </w:tcPr>
          <w:p>
            <w:pPr/>
            <w:r>
              <w:t xml:space="preserve">12,000 and 15.7%</w:t>
            </w:r>
          </w:p>
        </w:tc>
      </w:tr>
      <w:tr>
        <w:tc>
          <w:tcPr>
            <w:tcW w:w="4030" w:type="dxa"/>
          </w:tcPr>
          <w:p>
            <w:pPr/>
            <w:r>
              <w:t xml:space="preserve">No-purchase baseline accuracy</w:t>
            </w:r>
          </w:p>
        </w:tc>
        <w:tc>
          <w:tcPr>
            <w:tcW w:w="5329" w:type="dxa"/>
          </w:tcPr>
          <w:p>
            <w:pPr/>
            <w:r>
              <w:t xml:space="preserve">84.3%</w:t>
            </w:r>
          </w:p>
        </w:tc>
      </w:tr>
      <w:tr>
        <w:tc>
          <w:tcPr>
            <w:tcW w:w="4030" w:type="dxa"/>
          </w:tcPr>
          <w:p>
            <w:pPr/>
            <w:r>
              <w:t xml:space="preserve">Selected model and test PR-AUC</w:t>
            </w:r>
          </w:p>
        </w:tc>
        <w:tc>
          <w:tcPr>
            <w:tcW w:w="5329" w:type="dxa"/>
          </w:tcPr>
          <w:p>
            <w:pPr/>
            <w:r>
              <w:t xml:space="preserve">CatBoost, 0.869</w:t>
            </w:r>
          </w:p>
        </w:tc>
      </w:tr>
      <w:tr>
        <w:tc>
          <w:tcPr>
            <w:tcW w:w="4030" w:type="dxa"/>
          </w:tcPr>
          <w:p>
            <w:pPr/>
            <w:r>
              <w:t xml:space="preserve">Threshold, recall, precision</w:t>
            </w:r>
          </w:p>
        </w:tc>
        <w:tc>
          <w:tcPr>
            <w:tcW w:w="5329" w:type="dxa"/>
          </w:tcPr>
          <w:p>
            <w:pPr/>
            <w:r>
              <w:t xml:space="preserve">0.38, 0.96, 0.56</w:t>
            </w:r>
          </w:p>
        </w:tc>
      </w:tr>
      <w:tr>
        <w:tc>
          <w:tcPr>
            <w:tcW w:w="4030" w:type="dxa"/>
          </w:tcPr>
          <w:p>
            <w:pPr/>
            <w:r>
              <w:t xml:space="preserve">PR-AUC without PageValues</w:t>
            </w:r>
          </w:p>
        </w:tc>
        <w:tc>
          <w:tcPr>
            <w:tcW w:w="5329" w:type="dxa"/>
          </w:tcPr>
          <w:p>
            <w:pPr/>
            <w:r>
              <w:t xml:space="preserve">0.55 (down from 0.87)</w:t>
            </w:r>
          </w:p>
        </w:tc>
      </w:tr>
      <w:tr>
        <w:tc>
          <w:tcPr>
            <w:tcW w:w="4030" w:type="dxa"/>
          </w:tcPr>
          <w:p>
            <w:pPr/>
            <w:r>
              <w:t xml:space="preserve">Example session score</w:t>
            </w:r>
          </w:p>
        </w:tc>
        <w:tc>
          <w:tcPr>
            <w:tcW w:w="5329" w:type="dxa"/>
          </w:tcPr>
          <w:p>
            <w:pPr/>
            <w:r>
              <w:t xml:space="preserve">0.71 with PageValues 20; about 0.002 with PageValues 0</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Demo Script Purchase-Intent Prediction (4-Minute Screen Recording)</dc:title>
  <dc:description>Claude Docs node/e39b2740-b977@1 docx-w7</dc:description>
  <cp:revision>1</cp:revision>
</cp:coreProperties>
</file>