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Executive Sales Dashboard and Purchase-Intent Model: Project Report</w:t>
      </w:r>
    </w:p>
    <w:p>
      <w:pPr/>
      <w:r>
        <w:t xml:space="preserve">Prepared by: [your name] · [course / date] · Dataset: 12,000 e-commerce sessions, 17 input features</w:t>
      </w:r>
    </w:p>
    <w:p>
      <w:pPr>
        <w:pStyle w:val="Heading2"/>
      </w:pPr>
      <w:r>
        <w:t xml:space="preserve">1. Summary</w:t>
      </w:r>
    </w:p>
    <w:p>
      <w:pPr/>
      <w:r>
        <w:t xml:space="preserve">This project answers one business question: which online shopping sessions end in a purchase, and where should an online retailer spend money on interventions such as discounts or free-shipping banners? It has two parts. A Power BI Executive Dashboard gives managers a fast view of orders, estimated sales and profit, trends and top traffic sources. A machine-learning model then scores every session for purchase intent, explains each score, and chooses an intervention threshold from cost versus value.</w:t>
      </w:r>
    </w:p>
    <w:p>
      <w:pPr/>
      <w:r>
        <w:t xml:space="preserve">Only about 1 in 6 sessions (15.7%) converts. That imbalance shapes every decision below.</w:t>
      </w:r>
    </w:p>
    <w:p>
      <w:pPr>
        <w:pStyle w:val="Heading2"/>
      </w:pPr>
      <w:r>
        <w:t xml:space="preserve">2. Data</w:t>
      </w:r>
    </w:p>
    <w:p>
      <w:pPr/>
      <w:r>
        <w:t xml:space="preserve">The file ecommerce_sessions.csv holds 12,000 sessions with page-visit counts and durations, bounce, exit and page-value metrics, calendar context, technical IDs, visitor type and a Converted flag. There are no missing values and no duplicate rows. Region, Browser, OperatingSystems and TrafficType are stored as integers but are category IDs, so they were treated as categories throughout.</w:t>
      </w:r>
    </w:p>
    <w:p>
      <w:pPr>
        <w:pStyle w:val="Heading2"/>
      </w:pPr>
      <w:r>
        <w:t xml:space="preserve">3. Power BI Executive Dashboard</w:t>
      </w:r>
    </w:p>
    <w:p>
      <w:pPr>
        <w:pStyle w:val="Heading3"/>
      </w:pPr>
      <w:r>
        <w:t xml:space="preserve">3.1 Adapting the assignment to this data</w:t>
      </w:r>
    </w:p>
    <w:p>
      <w:pPr/>
      <w:r>
        <w:t xml:space="preserve">The assignment asks for Sales, Profit, Orders and Customers. This dataset records web sessions, not transactions, so it has no revenue, profit or customer fields. The mapping below is used and is stated on the dashboard itself.</w:t>
      </w:r>
    </w:p>
    <w:tbl>
      <w:tblPr>
        <w:tblStyle w:val="TableGrid"/>
        <w:tblW w:w="0" w:type="auto"/>
        <w:tblLayout w:type="fixed"/>
        <w:tblLook w:val="04A0" w:firstRow="1" w:lastRow="0" w:firstColumn="0" w:lastColumn="0" w:noHBand="0" w:noVBand="1"/>
      </w:tblPr>
      <w:tblGrid>
        <w:gridCol w:w="2219"/>
        <w:gridCol w:w="4722"/>
        <w:gridCol w:w="2417"/>
      </w:tblGrid>
      <w:tr>
        <w:trPr>
          <w:tblHeader/>
        </w:trPr>
        <w:tc>
          <w:tcPr>
            <w:tcW w:w="2219" w:type="dxa"/>
            <w:shd w:val="clear" w:color="auto" w:fill="F2F2F2"/>
          </w:tcPr>
          <w:p>
            <w:pPr/>
            <w:r>
              <w:t xml:space="preserve">Assignment item</w:t>
            </w:r>
          </w:p>
        </w:tc>
        <w:tc>
          <w:tcPr>
            <w:tcW w:w="4722" w:type="dxa"/>
            <w:shd w:val="clear" w:color="auto" w:fill="F2F2F2"/>
          </w:tcPr>
          <w:p>
            <w:pPr/>
            <w:r>
              <w:t xml:space="preserve">Used here</w:t>
            </w:r>
          </w:p>
        </w:tc>
        <w:tc>
          <w:tcPr>
            <w:tcW w:w="2417" w:type="dxa"/>
            <w:shd w:val="clear" w:color="auto" w:fill="F2F2F2"/>
          </w:tcPr>
          <w:p>
            <w:pPr/>
            <w:r>
              <w:t xml:space="preserve">Type</w:t>
            </w:r>
          </w:p>
        </w:tc>
      </w:tr>
      <w:tr>
        <w:tc>
          <w:tcPr>
            <w:tcW w:w="2219" w:type="dxa"/>
          </w:tcPr>
          <w:p>
            <w:pPr/>
            <w:r>
              <w:t xml:space="preserve">Orders</w:t>
            </w:r>
          </w:p>
        </w:tc>
        <w:tc>
          <w:tcPr>
            <w:tcW w:w="4722" w:type="dxa"/>
          </w:tcPr>
          <w:p>
            <w:pPr/>
            <w:r>
              <w:t xml:space="preserve">Sessions where Converted = 1</w:t>
            </w:r>
          </w:p>
        </w:tc>
        <w:tc>
          <w:tcPr>
            <w:tcW w:w="2417" w:type="dxa"/>
          </w:tcPr>
          <w:p>
            <w:pPr/>
            <w:r>
              <w:t xml:space="preserve">Real data</w:t>
            </w:r>
          </w:p>
        </w:tc>
      </w:tr>
      <w:tr>
        <w:tc>
          <w:tcPr>
            <w:tcW w:w="2219" w:type="dxa"/>
          </w:tcPr>
          <w:p>
            <w:pPr/>
            <w:r>
              <w:t xml:space="preserve">Total Sales</w:t>
            </w:r>
          </w:p>
        </w:tc>
        <w:tc>
          <w:tcPr>
            <w:tcW w:w="4722" w:type="dxa"/>
          </w:tcPr>
          <w:p>
            <w:pPr/>
            <w:r>
              <w:t xml:space="preserve">Orders x Average Order Value (what-if slider, default $85)</w:t>
            </w:r>
          </w:p>
        </w:tc>
        <w:tc>
          <w:tcPr>
            <w:tcW w:w="2417" w:type="dxa"/>
          </w:tcPr>
          <w:p>
            <w:pPr/>
            <w:r>
              <w:t xml:space="preserve">Estimated</w:t>
            </w:r>
          </w:p>
        </w:tc>
      </w:tr>
      <w:tr>
        <w:tc>
          <w:tcPr>
            <w:tcW w:w="2219" w:type="dxa"/>
          </w:tcPr>
          <w:p>
            <w:pPr/>
            <w:r>
              <w:t xml:space="preserve">Profit</w:t>
            </w:r>
          </w:p>
        </w:tc>
        <w:tc>
          <w:tcPr>
            <w:tcW w:w="4722" w:type="dxa"/>
          </w:tcPr>
          <w:p>
            <w:pPr/>
            <w:r>
              <w:t xml:space="preserve">Estimated Sales x Margin (what-if slider, default 25%)</w:t>
            </w:r>
          </w:p>
        </w:tc>
        <w:tc>
          <w:tcPr>
            <w:tcW w:w="2417" w:type="dxa"/>
          </w:tcPr>
          <w:p>
            <w:pPr/>
            <w:r>
              <w:t xml:space="preserve">Estimated</w:t>
            </w:r>
          </w:p>
        </w:tc>
      </w:tr>
      <w:tr>
        <w:tc>
          <w:tcPr>
            <w:tcW w:w="2219" w:type="dxa"/>
          </w:tcPr>
          <w:p>
            <w:pPr/>
            <w:r>
              <w:t xml:space="preserve">Sales by Region</w:t>
            </w:r>
          </w:p>
        </w:tc>
        <w:tc>
          <w:tcPr>
            <w:tcW w:w="4722" w:type="dxa"/>
          </w:tcPr>
          <w:p>
            <w:pPr/>
            <w:r>
              <w:t xml:space="preserve">Region label (9 regions)</w:t>
            </w:r>
          </w:p>
        </w:tc>
        <w:tc>
          <w:tcPr>
            <w:tcW w:w="2417" w:type="dxa"/>
          </w:tcPr>
          <w:p>
            <w:pPr/>
            <w:r>
              <w:t xml:space="preserve">Real dimension</w:t>
            </w:r>
          </w:p>
        </w:tc>
      </w:tr>
      <w:tr>
        <w:tc>
          <w:tcPr>
            <w:tcW w:w="2219" w:type="dxa"/>
          </w:tcPr>
          <w:p>
            <w:pPr/>
            <w:r>
              <w:t xml:space="preserve">Sales by Product</w:t>
            </w:r>
          </w:p>
        </w:tc>
        <w:tc>
          <w:tcPr>
            <w:tcW w:w="4722" w:type="dxa"/>
          </w:tcPr>
          <w:p>
            <w:pPr/>
            <w:r>
              <w:t xml:space="preserve">Product-engagement band (product pages viewed)</w:t>
            </w:r>
          </w:p>
        </w:tc>
        <w:tc>
          <w:tcPr>
            <w:tcW w:w="2417" w:type="dxa"/>
          </w:tcPr>
          <w:p>
            <w:pPr/>
            <w:r>
              <w:t xml:space="preserve">Derived, no SKU data exists</w:t>
            </w:r>
          </w:p>
        </w:tc>
      </w:tr>
      <w:tr>
        <w:tc>
          <w:tcPr>
            <w:tcW w:w="2219" w:type="dxa"/>
          </w:tcPr>
          <w:p>
            <w:pPr/>
            <w:r>
              <w:t xml:space="preserve">Top 10 Customers or Products</w:t>
            </w:r>
          </w:p>
        </w:tc>
        <w:tc>
          <w:tcPr>
            <w:tcW w:w="4722" w:type="dxa"/>
          </w:tcPr>
          <w:p>
            <w:pPr/>
            <w:r>
              <w:t xml:space="preserve">Top 10 traffic sources by orders</w:t>
            </w:r>
          </w:p>
        </w:tc>
        <w:tc>
          <w:tcPr>
            <w:tcW w:w="2417" w:type="dxa"/>
          </w:tcPr>
          <w:p>
            <w:pPr/>
            <w:r>
              <w:t xml:space="preserve">Real dimension, no customer IDs exist</w:t>
            </w:r>
          </w:p>
        </w:tc>
      </w:tr>
      <w:tr>
        <w:tc>
          <w:tcPr>
            <w:tcW w:w="2219" w:type="dxa"/>
          </w:tcPr>
          <w:p>
            <w:pPr/>
            <w:r>
              <w:t xml:space="preserve">Date slicer and monthly trend</w:t>
            </w:r>
          </w:p>
        </w:tc>
        <w:tc>
          <w:tcPr>
            <w:tcW w:w="4722" w:type="dxa"/>
          </w:tcPr>
          <w:p>
            <w:pPr/>
            <w:r>
              <w:t xml:space="preserve">Month, sorted by month number (Feb to Dec)</w:t>
            </w:r>
          </w:p>
        </w:tc>
        <w:tc>
          <w:tcPr>
            <w:tcW w:w="2417" w:type="dxa"/>
          </w:tcPr>
          <w:p>
            <w:pPr/>
            <w:r>
              <w:t xml:space="preserve">Only month exists in the data</w:t>
            </w:r>
          </w:p>
        </w:tc>
      </w:tr>
    </w:tbl>
    <w:p>
      <w:pPr/>
      <w:r>
        <w:t xml:space="preserve">At the default sliders the 1,886 orders give estimated sales of about $160,310 and estimated profit of about $40,078. These are scenario figures, not recorded revenue.</w:t>
      </w:r>
    </w:p>
    <w:p>
      <w:pPr>
        <w:pStyle w:val="Heading3"/>
      </w:pPr>
      <w:r>
        <w:t xml:space="preserve">3.2 Data preparation in Power Query</w:t>
      </w:r>
    </w:p>
    <w:p>
      <w:pPr/>
      <w:r>
        <w:t xml:space="preserve">The raw CSV is connected directly. Steps: promote headers, set data types, keep the four ID columns as text, remove nulls and duplicates (none were found), add a session key, add derived columns (month number for sorting, outcome label, weekday or weekend, region label, traffic-source label, product-engagement band, total pages, total duration), and optionally join the machine-learning scores by session key.</w:t>
      </w:r>
    </w:p>
    <w:p>
      <w:pPr>
        <w:pStyle w:val="Heading3"/>
      </w:pPr>
      <w:r>
        <w:t xml:space="preserve">3.3 Pages and visuals</w:t>
      </w:r>
    </w:p>
    <w:tbl>
      <w:tblPr>
        <w:tblStyle w:val="TableGrid"/>
        <w:tblW w:w="0" w:type="auto"/>
        <w:tblLayout w:type="fixed"/>
        <w:tblLook w:val="04A0" w:firstRow="1" w:lastRow="0" w:firstColumn="0" w:lastColumn="0" w:noHBand="0" w:noVBand="1"/>
      </w:tblPr>
      <w:tblGrid>
        <w:gridCol w:w="3344"/>
        <w:gridCol w:w="6015"/>
      </w:tblGrid>
      <w:tr>
        <w:trPr>
          <w:tblHeader/>
        </w:trPr>
        <w:tc>
          <w:tcPr>
            <w:tcW w:w="3344" w:type="dxa"/>
            <w:shd w:val="clear" w:color="auto" w:fill="F2F2F2"/>
          </w:tcPr>
          <w:p>
            <w:pPr/>
            <w:r>
              <w:t xml:space="preserve">Page</w:t>
            </w:r>
          </w:p>
        </w:tc>
        <w:tc>
          <w:tcPr>
            <w:tcW w:w="6015" w:type="dxa"/>
            <w:shd w:val="clear" w:color="auto" w:fill="F2F2F2"/>
          </w:tcPr>
          <w:p>
            <w:pPr/>
            <w:r>
              <w:t xml:space="preserve">Contents</w:t>
            </w:r>
          </w:p>
        </w:tc>
      </w:tr>
      <w:tr>
        <w:tc>
          <w:tcPr>
            <w:tcW w:w="3344" w:type="dxa"/>
          </w:tcPr>
          <w:p>
            <w:pPr/>
            <w:r>
              <w:t xml:space="preserve">1. Executive Overview</w:t>
            </w:r>
          </w:p>
        </w:tc>
        <w:tc>
          <w:tcPr>
            <w:tcW w:w="6015" w:type="dxa"/>
          </w:tcPr>
          <w:p>
            <w:pPr/>
            <w:r>
              <w:t xml:space="preserve">KPI cards (Sessions, Orders, Conversion Rate, Est. Sales, Est. Profit); monthly sales trend with conversion-rate line; sales by region; sales by product-engagement band; Top 10 traffic sources; slicers for Month, Region, Visitor type and Day type; what-if sliders</w:t>
            </w:r>
          </w:p>
        </w:tc>
      </w:tr>
      <w:tr>
        <w:tc>
          <w:tcPr>
            <w:tcW w:w="3344" w:type="dxa"/>
          </w:tcPr>
          <w:p>
            <w:pPr/>
            <w:r>
              <w:t xml:space="preserve">2. Traffic and Visitors</w:t>
            </w:r>
          </w:p>
        </w:tc>
        <w:tc>
          <w:tcPr>
            <w:tcW w:w="6015" w:type="dxa"/>
          </w:tcPr>
          <w:p>
            <w:pPr/>
            <w:r>
              <w:t xml:space="preserve">Visitor-type donut; Month by Visitor-type conversion heatmap; weekday versus weekend; Top 10 traffic-source table with data bars</w:t>
            </w:r>
          </w:p>
        </w:tc>
      </w:tr>
      <w:tr>
        <w:tc>
          <w:tcPr>
            <w:tcW w:w="3344" w:type="dxa"/>
          </w:tcPr>
          <w:p>
            <w:pPr/>
            <w:r>
              <w:t xml:space="preserve">3. Purchase Intent (ML)</w:t>
            </w:r>
          </w:p>
        </w:tc>
        <w:tc>
          <w:tcPr>
            <w:tcW w:w="6015" w:type="dxa"/>
          </w:tcPr>
          <w:p>
            <w:pPr/>
            <w:r>
              <w:t xml:space="preserve">Average score, predicted buyers, expected orders; sessions and conversion by score band; scatter of product-page time against score; Train/Test slicer</w:t>
            </w:r>
          </w:p>
        </w:tc>
      </w:tr>
    </w:tbl>
    <w:p>
      <w:pPr/>
      <w:r>
        <w:t xml:space="preserve">[Insert screenshot: Page 1]</w:t>
      </w:r>
    </w:p>
    <w:p>
      <w:pPr/>
      <w:r>
        <w:t xml:space="preserve">[Insert screenshot: Page 2]</w:t>
      </w:r>
    </w:p>
    <w:p>
      <w:pPr/>
      <w:r>
        <w:t xml:space="preserve">[Insert screenshot: Page 3]</w:t>
      </w:r>
    </w:p>
    <w:p>
      <w:pPr>
        <w:pStyle w:val="Heading3"/>
      </w:pPr>
      <w:r>
        <w:t xml:space="preserve">3.4 Key insights</w:t>
      </w:r>
    </w:p>
    <w:p>
      <w:pPr>
        <w:pStyle w:val="ListParagraph"/>
        <w:numPr>
          <w:ilvl w:val="0"/>
          <w:numId w:val="2"/>
        </w:numPr>
      </w:pPr>
      <w:r>
        <w:t xml:space="preserve">Conversion peaks in November (20.0%), with December (17.9%) and May (17.1%) next. It is lowest in June (9.9%) and February (10.1%). The data has no January or April.</w:t>
      </w:r>
    </w:p>
    <w:p>
      <w:pPr>
        <w:pStyle w:val="ListParagraph"/>
        <w:numPr>
          <w:ilvl w:val="0"/>
          <w:numId w:val="2"/>
        </w:numPr>
      </w:pPr>
      <w:r>
        <w:t xml:space="preserve">Product engagement is the clearest driver: light browsers (up to 10 product pages) convert at 2.5%, medium at 10.6%, heavy (31 to 60 pages) at 51.0%, and power users (61 or more) at 81.8%.</w:t>
      </w:r>
    </w:p>
    <w:p>
      <w:pPr>
        <w:pStyle w:val="ListParagraph"/>
        <w:numPr>
          <w:ilvl w:val="0"/>
          <w:numId w:val="2"/>
        </w:numPr>
      </w:pPr>
      <w:r>
        <w:t xml:space="preserve">Returning visitors make up about 86% of sessions and convert at 16.6%, against 10.2% for new visitors.</w:t>
      </w:r>
    </w:p>
    <w:p>
      <w:pPr>
        <w:pStyle w:val="ListParagraph"/>
        <w:numPr>
          <w:ilvl w:val="0"/>
          <w:numId w:val="2"/>
        </w:numPr>
      </w:pPr>
      <w:r>
        <w:t xml:space="preserve">Region barely separates buyers (15.9% to 17.1% among the largest regions), and weekday versus weekend is almost identical (15.8% versus 15.6%).</w:t>
      </w:r>
    </w:p>
    <w:p>
      <w:pPr>
        <w:pStyle w:val="ListParagraph"/>
        <w:numPr>
          <w:ilvl w:val="0"/>
          <w:numId w:val="2"/>
        </w:numPr>
      </w:pPr>
      <w:r>
        <w:t xml:space="preserve">Orders are spread across traffic sources: the top 10 of 20 sources account for about 54% of orders, so no single channel dominates.</w:t>
      </w:r>
    </w:p>
    <w:p>
      <w:pPr>
        <w:pStyle w:val="Heading3"/>
      </w:pPr>
      <w:r>
        <w:t xml:space="preserve">3.5 Limitations</w:t>
      </w:r>
    </w:p>
    <w:p>
      <w:pPr/>
      <w:r>
        <w:t xml:space="preserve">Sales and profit are estimates driven by two assumptions. There is only month-level time, so no daily trend or year-over-year comparison is possible. There are no customer or product identifiers, so the Top 10 uses traffic sources.</w:t>
      </w:r>
    </w:p>
    <w:p>
      <w:pPr>
        <w:pStyle w:val="Heading2"/>
      </w:pPr>
      <w:r>
        <w:t xml:space="preserve">4. Extension: purchase-intent model</w:t>
      </w:r>
    </w:p>
    <w:p>
      <w:pPr>
        <w:pStyle w:val="ListParagraph"/>
        <w:numPr>
          <w:ilvl w:val="0"/>
          <w:numId w:val="3"/>
        </w:numPr>
      </w:pPr>
      <w:r>
        <w:rPr>
          <w:b/>
        </w:rPr>
        <w:t xml:space="preserve">Problem.</w:t>
      </w:r>
      <w:r>
        <w:t xml:space="preserve"> About 1 in 6 sessions converts, so a model that always predicts no purchase is 84.3% accurate and finds no buyers. The work is therefore judged on PR-AUC and recall on the buying class.</w:t>
      </w:r>
    </w:p>
    <w:p>
      <w:pPr>
        <w:pStyle w:val="ListParagraph"/>
        <w:numPr>
          <w:ilvl w:val="0"/>
          <w:numId w:val="3"/>
        </w:numPr>
      </w:pPr>
      <w:r>
        <w:rPr>
          <w:b/>
        </w:rPr>
        <w:t xml:space="preserve">Insight from the data.</w:t>
      </w:r>
      <w:r>
        <w:t xml:space="preserve"> Conversion peaks in November, and buyers view about twice as many product pages as non-buyers (median 32 versus 15). Buyers also bounce and exit far less.</w:t>
      </w:r>
    </w:p>
    <w:p>
      <w:pPr>
        <w:pStyle w:val="ListParagraph"/>
        <w:numPr>
          <w:ilvl w:val="0"/>
          <w:numId w:val="3"/>
        </w:numPr>
      </w:pPr>
      <w:r>
        <w:rPr>
          <w:b/>
        </w:rPr>
        <w:t xml:space="preserve">Model.</w:t>
      </w:r>
      <w:r>
        <w:t xml:space="preserve"> Six algorithms (logistic regression, decision tree, random forest, XGBoost, LightGBM, CatBoost) were compared fairly. Encoding, scaling and any resampling are refitted inside each cross-validation fold so nothing leaks from validation data. CatBoost scored best, with test PR-AUC 0.869.</w:t>
      </w:r>
    </w:p>
    <w:p>
      <w:pPr>
        <w:pStyle w:val="ListParagraph"/>
        <w:numPr>
          <w:ilvl w:val="0"/>
          <w:numId w:val="3"/>
        </w:numPr>
      </w:pPr>
      <w:r>
        <w:rPr>
          <w:b/>
        </w:rPr>
        <w:t xml:space="preserve">Decision.</w:t>
      </w:r>
      <w:r>
        <w:t xml:space="preserve"> The threshold of 0.38 comes from cost versus value, not the default 0.5. At that threshold the model catches 96% of buyers with 56% precision.</w:t>
      </w:r>
    </w:p>
    <w:p>
      <w:pPr>
        <w:pStyle w:val="ListParagraph"/>
        <w:numPr>
          <w:ilvl w:val="0"/>
          <w:numId w:val="3"/>
        </w:numPr>
      </w:pPr>
      <w:r>
        <w:rPr>
          <w:b/>
        </w:rPr>
        <w:t xml:space="preserve">Explainability.</w:t>
      </w:r>
      <w:r>
        <w:t xml:space="preserve"> SHAP (global and per-session) and LIME show why any single session received its score.</w:t>
      </w:r>
    </w:p>
    <w:p>
      <w:pPr>
        <w:pStyle w:val="ListParagraph"/>
        <w:numPr>
          <w:ilvl w:val="0"/>
          <w:numId w:val="3"/>
        </w:numPr>
      </w:pPr>
      <w:r>
        <w:rPr>
          <w:b/>
        </w:rPr>
        <w:t xml:space="preserve">Honest caveat.</w:t>
      </w:r>
      <w:r>
        <w:t xml:space="preserve"> PageValues is a leakage risk. Every buyer has PageValues above 0, and without it PR-AUC falls from 0.87 to 0.55.</w:t>
      </w:r>
    </w:p>
    <w:p>
      <w:pPr>
        <w:pStyle w:val="Heading2"/>
      </w:pPr>
      <w:r>
        <w:t xml:space="preserve">5. Results</w:t>
      </w:r>
    </w:p>
    <w:p>
      <w:pPr/>
      <w:r>
        <w:t xml:space="preserve">Held-out test set of 2,400 sessions. Cross-validation uses 5 folds on the training set. For reference, a model with no skill scores a PR-AUC equal to the buyer rate, 0.157.</w:t>
      </w:r>
    </w:p>
    <w:tbl>
      <w:tblPr>
        <w:tblStyle w:val="TableGrid"/>
        <w:tblW w:w="0" w:type="auto"/>
        <w:tblLayout w:type="fixed"/>
        <w:tblLook w:val="04A0" w:firstRow="1" w:lastRow="0" w:firstColumn="0" w:lastColumn="0" w:noHBand="0" w:noVBand="1"/>
      </w:tblPr>
      <w:tblGrid>
        <w:gridCol w:w="2293"/>
        <w:gridCol w:w="1496"/>
        <w:gridCol w:w="1655"/>
        <w:gridCol w:w="2103"/>
        <w:gridCol w:w="1813"/>
      </w:tblGrid>
      <w:tr>
        <w:trPr>
          <w:tblHeader/>
        </w:trPr>
        <w:tc>
          <w:tcPr>
            <w:tcW w:w="2293" w:type="dxa"/>
            <w:shd w:val="clear" w:color="auto" w:fill="F2F2F2"/>
          </w:tcPr>
          <w:p>
            <w:pPr/>
            <w:r>
              <w:t xml:space="preserve">Model</w:t>
            </w:r>
          </w:p>
        </w:tc>
        <w:tc>
          <w:tcPr>
            <w:tcW w:w="1496" w:type="dxa"/>
            <w:shd w:val="clear" w:color="auto" w:fill="F2F2F2"/>
          </w:tcPr>
          <w:p>
            <w:pPr/>
            <w:r>
              <w:t xml:space="preserve">CV PR-AUC</w:t>
            </w:r>
          </w:p>
        </w:tc>
        <w:tc>
          <w:tcPr>
            <w:tcW w:w="1655" w:type="dxa"/>
            <w:shd w:val="clear" w:color="auto" w:fill="F2F2F2"/>
          </w:tcPr>
          <w:p>
            <w:pPr/>
            <w:r>
              <w:t xml:space="preserve">Test PR-AUC</w:t>
            </w:r>
          </w:p>
        </w:tc>
        <w:tc>
          <w:tcPr>
            <w:tcW w:w="2103" w:type="dxa"/>
            <w:shd w:val="clear" w:color="auto" w:fill="F2F2F2"/>
          </w:tcPr>
          <w:p>
            <w:pPr/>
            <w:r>
              <w:t xml:space="preserve">Buyer recall at 0.5</w:t>
            </w:r>
          </w:p>
        </w:tc>
        <w:tc>
          <w:tcPr>
            <w:tcW w:w="1813" w:type="dxa"/>
            <w:shd w:val="clear" w:color="auto" w:fill="F2F2F2"/>
          </w:tcPr>
          <w:p>
            <w:pPr/>
            <w:r>
              <w:t xml:space="preserve">Test ROC-AUC</w:t>
            </w:r>
          </w:p>
        </w:tc>
      </w:tr>
      <w:tr>
        <w:tc>
          <w:tcPr>
            <w:tcW w:w="2293" w:type="dxa"/>
          </w:tcPr>
          <w:p>
            <w:pPr/>
            <w:r>
              <w:t xml:space="preserve">CatBoost (selected)</w:t>
            </w:r>
          </w:p>
        </w:tc>
        <w:tc>
          <w:tcPr>
            <w:tcW w:w="1496" w:type="dxa"/>
          </w:tcPr>
          <w:p>
            <w:pPr/>
            <w:r>
              <w:t xml:space="preserve">0.850</w:t>
            </w:r>
          </w:p>
        </w:tc>
        <w:tc>
          <w:tcPr>
            <w:tcW w:w="1655" w:type="dxa"/>
          </w:tcPr>
          <w:p>
            <w:pPr/>
            <w:r>
              <w:t xml:space="preserve">0.869</w:t>
            </w:r>
          </w:p>
        </w:tc>
        <w:tc>
          <w:tcPr>
            <w:tcW w:w="2103" w:type="dxa"/>
          </w:tcPr>
          <w:p>
            <w:pPr/>
            <w:r>
              <w:t xml:space="preserve">0.944</w:t>
            </w:r>
          </w:p>
        </w:tc>
        <w:tc>
          <w:tcPr>
            <w:tcW w:w="1813" w:type="dxa"/>
          </w:tcPr>
          <w:p>
            <w:pPr/>
            <w:r>
              <w:t xml:space="preserve">0.973</w:t>
            </w:r>
          </w:p>
        </w:tc>
      </w:tr>
      <w:tr>
        <w:tc>
          <w:tcPr>
            <w:tcW w:w="2293" w:type="dxa"/>
          </w:tcPr>
          <w:p>
            <w:pPr/>
            <w:r>
              <w:t xml:space="preserve">XGBoost</w:t>
            </w:r>
          </w:p>
        </w:tc>
        <w:tc>
          <w:tcPr>
            <w:tcW w:w="1496" w:type="dxa"/>
          </w:tcPr>
          <w:p>
            <w:pPr/>
            <w:r>
              <w:t xml:space="preserve">0.847</w:t>
            </w:r>
          </w:p>
        </w:tc>
        <w:tc>
          <w:tcPr>
            <w:tcW w:w="1655" w:type="dxa"/>
          </w:tcPr>
          <w:p>
            <w:pPr/>
            <w:r>
              <w:t xml:space="preserve">0.863</w:t>
            </w:r>
          </w:p>
        </w:tc>
        <w:tc>
          <w:tcPr>
            <w:tcW w:w="2103" w:type="dxa"/>
          </w:tcPr>
          <w:p>
            <w:pPr/>
            <w:r>
              <w:t xml:space="preserve">0.936</w:t>
            </w:r>
          </w:p>
        </w:tc>
        <w:tc>
          <w:tcPr>
            <w:tcW w:w="1813" w:type="dxa"/>
          </w:tcPr>
          <w:p>
            <w:pPr/>
            <w:r>
              <w:t xml:space="preserve">0.972</w:t>
            </w:r>
          </w:p>
        </w:tc>
      </w:tr>
      <w:tr>
        <w:tc>
          <w:tcPr>
            <w:tcW w:w="2293" w:type="dxa"/>
          </w:tcPr>
          <w:p>
            <w:pPr/>
            <w:r>
              <w:t xml:space="preserve">LightGBM</w:t>
            </w:r>
          </w:p>
        </w:tc>
        <w:tc>
          <w:tcPr>
            <w:tcW w:w="1496" w:type="dxa"/>
          </w:tcPr>
          <w:p>
            <w:pPr/>
            <w:r>
              <w:t xml:space="preserve">0.845</w:t>
            </w:r>
          </w:p>
        </w:tc>
        <w:tc>
          <w:tcPr>
            <w:tcW w:w="1655" w:type="dxa"/>
          </w:tcPr>
          <w:p>
            <w:pPr/>
            <w:r>
              <w:t xml:space="preserve">0.854</w:t>
            </w:r>
          </w:p>
        </w:tc>
        <w:tc>
          <w:tcPr>
            <w:tcW w:w="2103" w:type="dxa"/>
          </w:tcPr>
          <w:p>
            <w:pPr/>
            <w:r>
              <w:t xml:space="preserve">0.899</w:t>
            </w:r>
          </w:p>
        </w:tc>
        <w:tc>
          <w:tcPr>
            <w:tcW w:w="1813" w:type="dxa"/>
          </w:tcPr>
          <w:p>
            <w:pPr/>
            <w:r>
              <w:t xml:space="preserve">0.970</w:t>
            </w:r>
          </w:p>
        </w:tc>
      </w:tr>
      <w:tr>
        <w:tc>
          <w:tcPr>
            <w:tcW w:w="2293" w:type="dxa"/>
          </w:tcPr>
          <w:p>
            <w:pPr/>
            <w:r>
              <w:t xml:space="preserve">Logistic regression</w:t>
            </w:r>
          </w:p>
        </w:tc>
        <w:tc>
          <w:tcPr>
            <w:tcW w:w="1496" w:type="dxa"/>
          </w:tcPr>
          <w:p>
            <w:pPr/>
            <w:r>
              <w:t xml:space="preserve">0.836</w:t>
            </w:r>
          </w:p>
        </w:tc>
        <w:tc>
          <w:tcPr>
            <w:tcW w:w="1655" w:type="dxa"/>
          </w:tcPr>
          <w:p>
            <w:pPr/>
            <w:r>
              <w:t xml:space="preserve">0.829</w:t>
            </w:r>
          </w:p>
        </w:tc>
        <w:tc>
          <w:tcPr>
            <w:tcW w:w="2103" w:type="dxa"/>
          </w:tcPr>
          <w:p>
            <w:pPr/>
            <w:r>
              <w:t xml:space="preserve">0.944</w:t>
            </w:r>
          </w:p>
        </w:tc>
        <w:tc>
          <w:tcPr>
            <w:tcW w:w="1813" w:type="dxa"/>
          </w:tcPr>
          <w:p>
            <w:pPr/>
            <w:r>
              <w:t xml:space="preserve">0.970</w:t>
            </w:r>
          </w:p>
        </w:tc>
      </w:tr>
      <w:tr>
        <w:tc>
          <w:tcPr>
            <w:tcW w:w="2293" w:type="dxa"/>
          </w:tcPr>
          <w:p>
            <w:pPr/>
            <w:r>
              <w:t xml:space="preserve">Random forest</w:t>
            </w:r>
          </w:p>
        </w:tc>
        <w:tc>
          <w:tcPr>
            <w:tcW w:w="1496" w:type="dxa"/>
          </w:tcPr>
          <w:p>
            <w:pPr/>
            <w:r>
              <w:t xml:space="preserve">0.823</w:t>
            </w:r>
          </w:p>
        </w:tc>
        <w:tc>
          <w:tcPr>
            <w:tcW w:w="1655" w:type="dxa"/>
          </w:tcPr>
          <w:p>
            <w:pPr/>
            <w:r>
              <w:t xml:space="preserve">0.840</w:t>
            </w:r>
          </w:p>
        </w:tc>
        <w:tc>
          <w:tcPr>
            <w:tcW w:w="2103" w:type="dxa"/>
          </w:tcPr>
          <w:p>
            <w:pPr/>
            <w:r>
              <w:t xml:space="preserve">0.809</w:t>
            </w:r>
          </w:p>
        </w:tc>
        <w:tc>
          <w:tcPr>
            <w:tcW w:w="1813" w:type="dxa"/>
          </w:tcPr>
          <w:p>
            <w:pPr/>
            <w:r>
              <w:t xml:space="preserve">0.966</w:t>
            </w:r>
          </w:p>
        </w:tc>
      </w:tr>
      <w:tr>
        <w:tc>
          <w:tcPr>
            <w:tcW w:w="2293" w:type="dxa"/>
          </w:tcPr>
          <w:p>
            <w:pPr/>
            <w:r>
              <w:t xml:space="preserve">Decision tree</w:t>
            </w:r>
          </w:p>
        </w:tc>
        <w:tc>
          <w:tcPr>
            <w:tcW w:w="1496" w:type="dxa"/>
          </w:tcPr>
          <w:p>
            <w:pPr/>
            <w:r>
              <w:t xml:space="preserve">0.815</w:t>
            </w:r>
          </w:p>
        </w:tc>
        <w:tc>
          <w:tcPr>
            <w:tcW w:w="1655" w:type="dxa"/>
          </w:tcPr>
          <w:p>
            <w:pPr/>
            <w:r>
              <w:t xml:space="preserve">0.839</w:t>
            </w:r>
          </w:p>
        </w:tc>
        <w:tc>
          <w:tcPr>
            <w:tcW w:w="2103" w:type="dxa"/>
          </w:tcPr>
          <w:p>
            <w:pPr/>
            <w:r>
              <w:t xml:space="preserve">0.928</w:t>
            </w:r>
          </w:p>
        </w:tc>
        <w:tc>
          <w:tcPr>
            <w:tcW w:w="1813" w:type="dxa"/>
          </w:tcPr>
          <w:p>
            <w:pPr/>
            <w:r>
              <w:t xml:space="preserve">0.964</w:t>
            </w:r>
          </w:p>
        </w:tc>
      </w:tr>
    </w:tbl>
    <w:p>
      <w:pPr/>
      <w:r>
        <w:t xml:space="preserve">At the chosen threshold of 0.38 the selected model reaches recall 0.960, precision 0.560 and accuracy 0.875 on the test set. The top three models are within noise of each other, and plain logistic regression is only about 0.02 PR-AUC behind.</w:t>
      </w:r>
    </w:p>
    <w:p>
      <w:pPr>
        <w:pStyle w:val="Heading2"/>
      </w:pPr>
      <w:r>
        <w:t xml:space="preserve">6. Anticipated questions and answers</w:t>
      </w:r>
    </w:p>
    <w:p>
      <w:pPr>
        <w:pStyle w:val="Heading3"/>
      </w:pPr>
      <w:r>
        <w:t xml:space="preserve">Why PR-AUC and not accuracy?</w:t>
      </w:r>
    </w:p>
    <w:p>
      <w:pPr/>
      <w:r>
        <w:t xml:space="preserve">Only 15.7% of sessions buy, so predicting no purchase for everyone is 84.3% accurate while catching zero buyers. Our own model shows the same effect: at the chosen threshold its accuracy is 87.5%, only a little above that useless baseline, even though it finds 96% of buyers. Accuracy mostly rewards getting the many non-buyers right. PR-AUC looks only at the buying class: how many of the sessions we flag really buy (precision) against how many buyers we find (recall). Its no-skill baseline is the buyer rate, 0.157, so our 0.869 is a large, honest improvement. ROC-AUC (0.973) is reported too, but it can look flattering when negatives are plentiful.</w:t>
      </w:r>
    </w:p>
    <w:p>
      <w:pPr>
        <w:pStyle w:val="Heading3"/>
      </w:pPr>
      <w:r>
        <w:t xml:space="preserve">Why is the threshold 0.38?</w:t>
      </w:r>
    </w:p>
    <w:p>
      <w:pPr/>
      <w:r>
        <w:t xml:space="preserve">Because it maximises expected money, not a default. The economics are assumptions set in the config file: a captured buyer is worth $60, a nudge is only 25% effective, and each nudge costs $2. So a nudged buyer is worth $15 in expectation, and nudging breaks even when about 13% of the people we target would really buy ($2 divided by $15). For every possible threshold we computed net value as 15 times the buyers captured minus 2 times the sessions targeted, using out-of-fold predictions on the training data, so the test set stayed untouched. The best value, $16,526, occurs at 0.38. If the real value, cost or effectiveness differ, change the config and retrain, and the threshold moves.</w:t>
      </w:r>
    </w:p>
    <w:p>
      <w:pPr>
        <w:pStyle w:val="Heading3"/>
      </w:pPr>
      <w:r>
        <w:t xml:space="preserve">Why is preprocessing fitted per fold?</w:t>
      </w:r>
    </w:p>
    <w:p>
      <w:pPr/>
      <w:r>
        <w:t xml:space="preserve">If a scaler, encoder or SMOTE is fitted on all the data before splitting, information from the validation rows leaks into training: scaling statistics, category lists, or synthetic samples built from validation neighbours. Scores then look better than they will on genuinely new sessions. Putting every step inside a scikit-learn pipeline means each cross-validation fold learns its transforms from its own training part only, and the same saved pipeline is used by the API, so training and serving behave identically. For scalers and one-hot encoding the effect is usually small; for SMOTE it can be large. The principle is what matters, and we did not measure the inflation here.</w:t>
      </w:r>
    </w:p>
    <w:p>
      <w:pPr>
        <w:pStyle w:val="Heading3"/>
      </w:pPr>
      <w:r>
        <w:t xml:space="preserve">Why are Region and Browser treated as categories?</w:t>
      </w:r>
    </w:p>
    <w:p>
      <w:pPr/>
      <w:r>
        <w:t xml:space="preserve">They are stored as integers, but the numbers are just labels. Region 3 is not more than Region 1, and Browser 2 is not twice Browser 1. Scaling them as numbers would tell the model a false order and distance. One-hot encoding gives each ID its own yes/no column, and unseen IDs at serving time are ignored safely instead of crashing. Their near-zero correlation with the target (for example -0.012 for Region) is not a reason to treat them as numbers: linear correlation is meaningless for labels. One cost is more columns, since TrafficType has 20 levels, so we checked importance with permutation and SHAP, which showed these IDs add very little.</w:t>
      </w:r>
    </w:p>
    <w:p>
      <w:pPr>
        <w:pStyle w:val="Heading3"/>
      </w:pPr>
      <w:r>
        <w:t xml:space="preserve">Should PageValues be in the model?</w:t>
      </w:r>
    </w:p>
    <w:p>
      <w:pPr/>
      <w:r>
        <w:t xml:space="preserve">It depends on when the session is scored, and this is a decision to defend, not a technical detail. The evidence: every buyer has PageValues above 0 (against 35% of non-buyers), its correlation with conversion is +0.64, and it dominates the SHAP plot by far. PageValues partly reflects pages seen close to checkout, so it may not be known early in a visit. With it the model reaches PR-AUC 0.87; without it, 0.55 (the without-PageValues model reused the same settings and was not re-tuned, so it may do slightly better). Our served model keeps it because the intended use is scoring sessions already in progress, such as showing a banner when someone is about to leave. If the business wants to act at landing or early browsing, switch it off in the config, retrain, and report the lower number. Either way, present both figures.</w:t>
      </w:r>
    </w:p>
    <w:p>
      <w:pPr>
        <w:pStyle w:val="Heading3"/>
      </w:pPr>
      <w:r>
        <w:t xml:space="preserve">Why is the value curve flat between roughly 0.2 and 0.5?</w:t>
      </w:r>
    </w:p>
    <w:p>
      <w:pPr/>
      <w:r>
        <w:t xml:space="preserve">Three reasons. First, the model separates the classes very well (ROC-AUC 0.97), so most sessions score clearly low or clearly high and only a few fall in the middle: moving the threshold from 0.2 to 0.5 changes the number targeted by about 620 of 9,600 sessions. Second, the top of any optimum is flat: at the best threshold the last session added is worth about zero, so nearby thresholds lose very little. Net value is $16,526 at 0.38, about 2% lower at 0.2 ($16,176) and under 1% lower at 0.5 ($16,413). Third, the scores are not literal probabilities. Training with class weights pushes scores upward: in the test set, sessions scored 0.6 to 0.8 really bought about 30% of the time, and those scored 0.3 to 0.4 about 14%, which is close to the 13% break-even. That is why the optimum sits at 0.38 rather than 0.13. The practical lesson is that the choice is robust, so the business can pick a threshold within the flat range based on budget or capacity.</w:t>
      </w:r>
    </w:p>
    <w:p>
      <w:pPr>
        <w:pStyle w:val="Heading2"/>
      </w:pPr>
      <w:r>
        <w:t xml:space="preserve">7. Limitations and next steps</w:t>
      </w:r>
    </w:p>
    <w:p>
      <w:pPr>
        <w:pStyle w:val="ListParagraph"/>
        <w:numPr>
          <w:ilvl w:val="0"/>
          <w:numId w:val="4"/>
        </w:numPr>
      </w:pPr>
      <w:r>
        <w:t xml:space="preserve">The business numbers (value $60, cost $2, effectiveness 25%) are assumptions and should be replaced with real ones.</w:t>
      </w:r>
    </w:p>
    <w:p>
      <w:pPr>
        <w:pStyle w:val="ListParagraph"/>
        <w:numPr>
          <w:ilvl w:val="0"/>
          <w:numId w:val="4"/>
        </w:numPr>
      </w:pPr>
      <w:r>
        <w:t xml:space="preserve">The model's output is a risk score, not a calibrated probability. Calibrating it would make the scores readable as true likelihoods.</w:t>
      </w:r>
    </w:p>
    <w:p>
      <w:pPr>
        <w:pStyle w:val="ListParagraph"/>
        <w:numPr>
          <w:ilvl w:val="0"/>
          <w:numId w:val="4"/>
        </w:numPr>
      </w:pPr>
      <w:r>
        <w:t xml:space="preserve">Predictions describe correlation. A high score does not prove a nudge will change the outcome; that needs an A/B test.</w:t>
      </w:r>
    </w:p>
    <w:p>
      <w:pPr>
        <w:pStyle w:val="ListParagraph"/>
        <w:numPr>
          <w:ilvl w:val="0"/>
          <w:numId w:val="4"/>
        </w:numPr>
      </w:pPr>
      <w:r>
        <w:t xml:space="preserve">The data comes from one source and covers months Feb to Dec only, so seasonality in January and April is unknown.</w:t>
      </w:r>
    </w:p>
    <w:p>
      <w:pPr>
        <w:pStyle w:val="ListParagraph"/>
        <w:numPr>
          <w:ilvl w:val="0"/>
          <w:numId w:val="4"/>
        </w:numPr>
      </w:pPr>
      <w:r>
        <w:t xml:space="preserve">Ethics: no personal identifiers are used, and the model should not be used to profile individuals or make decisions with material effect on a person.</w:t>
      </w:r>
    </w:p>
    <w:p>
      <w:pPr>
        <w:pStyle w:val="ListParagraph"/>
        <w:numPr>
          <w:ilvl w:val="0"/>
          <w:numId w:val="4"/>
        </w:numPr>
      </w:pPr>
      <w:r>
        <w:t xml:space="preserve">Next steps: probability calibration, a data-drift check, and comparing CatBoost's native categorical handling with one-hot encoding.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Executive Sales Dashboard and Purchase-Intent Model Project Report</dc:title>
  <dc:description>Claude Docs node/cfbdddb1-a53b@1 docx-w7</dc:description>
  <cp:revision>1</cp:revision>
</cp:coreProperties>
</file>