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60"/>
      </w:pPr>
      <w:r>
        <w:rPr>
          <w:rFonts w:ascii="Calibri" w:hAnsi="Calibri"/>
          <w:b/>
          <w:color w:val="1F3864"/>
          <w:sz w:val="32"/>
          <w:szCs w:val="32"/>
        </w:rPr>
        <w:t>MÉTRICA — Sistema de seguimiento al Plan de Acción en Salud</w:t>
      </w:r>
    </w:p>
    <w:p>
      <w:pPr>
        <w:pBdr>
          <w:bottom w:val="single" w:sz="12" w:space="4" w:color="2E74B5"/>
        </w:pBdr>
        <w:spacing w:after="200"/>
      </w:pPr>
      <w:r>
        <w:rPr>
          <w:rFonts w:ascii="Calibri" w:hAnsi="Calibri"/>
          <w:i/>
          <w:color w:val="595959"/>
          <w:sz w:val="22"/>
        </w:rPr>
        <w:t>Documento de alcance funcional – Versión 2.0 (definitiva para construcción)</w:t>
      </w:r>
    </w:p>
    <w:tbl>
      <w:tblPr>
        <w:tblW w:w="8838"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CellMar>
          <w:top w:w="60" w:type="dxa"/>
          <w:left w:w="110" w:type="dxa"/>
          <w:bottom w:w="60" w:type="dxa"/>
          <w:right w:w="110" w:type="dxa"/>
        </w:tblCellMar>
      </w:tblPr>
      <w:tblGrid>
        <w:gridCol w:w="1900"/>
        <w:gridCol w:w="6938"/>
      </w:tblGrid>
      <w:tr>
        <w:trPr>
          <w:cantSplit/>
        </w:trPr>
        <w:tc>
          <w:tcPr>
            <w:tcW w:w="1900" w:type="dxa"/>
            <w:shd w:val="clear" w:color="auto" w:fill="F2F7FB"/>
            <w:vAlign w:val="center"/>
          </w:tcPr>
          <w:p>
            <w:pPr>
              <w:spacing w:before="50" w:after="50" w:line="240" w:lineRule="auto"/>
            </w:pPr>
            <w:r>
              <w:rPr>
                <w:rFonts w:ascii="Calibri" w:hAnsi="Calibri" w:cs="Calibri"/>
                <w:b/>
                <w:sz w:val="21"/>
                <w:szCs w:val="21"/>
              </w:rPr>
              <w:t xml:space="preserve">Sistema</w:t>
            </w:r>
          </w:p>
        </w:tc>
        <w:tc>
          <w:tcPr>
            <w:tcW w:w="6938" w:type="dxa"/>
            <w:vAlign w:val="center"/>
          </w:tcPr>
          <w:p>
            <w:pPr>
              <w:spacing w:before="50" w:after="50" w:line="240" w:lineRule="auto"/>
            </w:pPr>
            <w:r>
              <w:rPr>
                <w:rFonts w:ascii="Calibri" w:hAnsi="Calibri" w:cs="Calibri"/>
                <w:sz w:val="21"/>
                <w:szCs w:val="21"/>
              </w:rPr>
              <w:t xml:space="preserve">MÉTRICA – Monitoreo y Evaluación de Targets, Resultados e Indicadores para el Cumplimiento de Acciones</w:t>
            </w:r>
          </w:p>
        </w:tc>
      </w:tr>
      <w:tr>
        <w:trPr>
          <w:cantSplit/>
        </w:trPr>
        <w:tc>
          <w:tcPr>
            <w:tcW w:w="1900" w:type="dxa"/>
            <w:shd w:val="clear" w:color="auto" w:fill="F2F7FB"/>
            <w:vAlign w:val="center"/>
          </w:tcPr>
          <w:p>
            <w:pPr>
              <w:spacing w:before="50" w:after="50" w:line="240" w:lineRule="auto"/>
            </w:pPr>
            <w:r>
              <w:rPr>
                <w:rFonts w:ascii="Calibri" w:hAnsi="Calibri" w:cs="Calibri"/>
                <w:b/>
                <w:sz w:val="21"/>
                <w:szCs w:val="21"/>
              </w:rPr>
              <w:t xml:space="preserve">Entidad</w:t>
            </w:r>
          </w:p>
        </w:tc>
        <w:tc>
          <w:tcPr>
            <w:tcW w:w="6938" w:type="dxa"/>
            <w:vAlign w:val="center"/>
          </w:tcPr>
          <w:p>
            <w:pPr>
              <w:spacing w:before="50" w:after="50" w:line="240" w:lineRule="auto"/>
            </w:pPr>
            <w:r>
              <w:rPr>
                <w:rFonts w:ascii="Calibri" w:hAnsi="Calibri" w:cs="Calibri"/>
                <w:sz w:val="21"/>
                <w:szCs w:val="21"/>
              </w:rPr>
              <w:t xml:space="preserve">Gobernación del Magdalena – Secretaría de Salud</w:t>
            </w:r>
          </w:p>
        </w:tc>
      </w:tr>
      <w:tr>
        <w:trPr>
          <w:cantSplit/>
        </w:trPr>
        <w:tc>
          <w:tcPr>
            <w:tcW w:w="1900" w:type="dxa"/>
            <w:shd w:val="clear" w:color="auto" w:fill="F2F7FB"/>
            <w:vAlign w:val="center"/>
          </w:tcPr>
          <w:p>
            <w:pPr>
              <w:spacing w:before="50" w:after="50" w:line="240" w:lineRule="auto"/>
            </w:pPr>
            <w:r>
              <w:rPr>
                <w:rFonts w:ascii="Calibri" w:hAnsi="Calibri" w:cs="Calibri"/>
                <w:b/>
                <w:sz w:val="21"/>
                <w:szCs w:val="21"/>
              </w:rPr>
              <w:t xml:space="preserve">Contrato</w:t>
            </w:r>
          </w:p>
        </w:tc>
        <w:tc>
          <w:tcPr>
            <w:tcW w:w="6938" w:type="dxa"/>
            <w:vAlign w:val="center"/>
          </w:tcPr>
          <w:p>
            <w:pPr>
              <w:spacing w:before="50" w:after="50" w:line="240" w:lineRule="auto"/>
            </w:pPr>
            <w:r>
              <w:rPr>
                <w:rFonts w:ascii="Calibri" w:hAnsi="Calibri" w:cs="Calibri"/>
                <w:sz w:val="21"/>
                <w:szCs w:val="21"/>
              </w:rPr>
              <w:t xml:space="preserve">Por definir</w:t>
            </w:r>
          </w:p>
        </w:tc>
      </w:tr>
      <w:tr>
        <w:trPr>
          <w:cantSplit/>
        </w:trPr>
        <w:tc>
          <w:tcPr>
            <w:tcW w:w="1900" w:type="dxa"/>
            <w:shd w:val="clear" w:color="auto" w:fill="F2F7FB"/>
            <w:vAlign w:val="center"/>
          </w:tcPr>
          <w:p>
            <w:pPr>
              <w:spacing w:before="50" w:after="50" w:line="240" w:lineRule="auto"/>
            </w:pPr>
            <w:r>
              <w:rPr>
                <w:rFonts w:ascii="Calibri" w:hAnsi="Calibri" w:cs="Calibri"/>
                <w:b/>
                <w:sz w:val="21"/>
                <w:szCs w:val="21"/>
              </w:rPr>
              <w:t xml:space="preserve">Fecha</w:t>
            </w:r>
          </w:p>
        </w:tc>
        <w:tc>
          <w:tcPr>
            <w:tcW w:w="6938" w:type="dxa"/>
            <w:vAlign w:val="center"/>
          </w:tcPr>
          <w:p>
            <w:pPr>
              <w:spacing w:before="50" w:after="50" w:line="240" w:lineRule="auto"/>
            </w:pPr>
            <w:r>
              <w:rPr>
                <w:rFonts w:ascii="Calibri" w:hAnsi="Calibri" w:cs="Calibri"/>
                <w:sz w:val="21"/>
                <w:szCs w:val="21"/>
              </w:rPr>
              <w:t xml:space="preserve">10 de septiembre de 2026</w:t>
            </w:r>
          </w:p>
        </w:tc>
      </w:tr>
      <w:tr>
        <w:trPr>
          <w:cantSplit/>
        </w:trPr>
        <w:tc>
          <w:tcPr>
            <w:tcW w:w="1900" w:type="dxa"/>
            <w:shd w:val="clear" w:color="auto" w:fill="F2F7FB"/>
            <w:vAlign w:val="center"/>
          </w:tcPr>
          <w:p>
            <w:pPr>
              <w:spacing w:before="50" w:after="50" w:line="240" w:lineRule="auto"/>
            </w:pPr>
            <w:r>
              <w:rPr>
                <w:rFonts w:ascii="Calibri" w:hAnsi="Calibri" w:cs="Calibri"/>
                <w:b/>
                <w:sz w:val="21"/>
                <w:szCs w:val="21"/>
              </w:rPr>
              <w:t xml:space="preserve">Estado</w:t>
            </w:r>
          </w:p>
        </w:tc>
        <w:tc>
          <w:tcPr>
            <w:tcW w:w="6938" w:type="dxa"/>
            <w:vAlign w:val="center"/>
          </w:tcPr>
          <w:p>
            <w:pPr>
              <w:spacing w:before="50" w:after="50" w:line="240" w:lineRule="auto"/>
            </w:pPr>
            <w:r>
              <w:rPr>
                <w:rFonts w:ascii="Calibri" w:hAnsi="Calibri" w:cs="Calibri"/>
                <w:sz w:val="21"/>
                <w:szCs w:val="21"/>
              </w:rPr>
              <w:t xml:space="preserve">Alcance validado con el cliente en cuatro etapas de trabajo</w:t>
            </w:r>
          </w:p>
        </w:tc>
      </w:tr>
      <w:tr>
        <w:trPr>
          <w:cantSplit/>
        </w:trPr>
        <w:tc>
          <w:tcPr>
            <w:tcW w:w="1900" w:type="dxa"/>
            <w:shd w:val="clear" w:color="auto" w:fill="F2F7FB"/>
            <w:vAlign w:val="center"/>
          </w:tcPr>
          <w:p>
            <w:pPr>
              <w:spacing w:before="50" w:after="50" w:line="240" w:lineRule="auto"/>
            </w:pPr>
            <w:r>
              <w:rPr>
                <w:rFonts w:ascii="Calibri" w:hAnsi="Calibri" w:cs="Calibri"/>
                <w:b/>
                <w:sz w:val="21"/>
                <w:szCs w:val="21"/>
              </w:rPr>
              <w:t xml:space="preserve">Plazo</w:t>
            </w:r>
          </w:p>
        </w:tc>
        <w:tc>
          <w:tcPr>
            <w:tcW w:w="6938" w:type="dxa"/>
            <w:vAlign w:val="center"/>
          </w:tcPr>
          <w:p>
            <w:pPr>
              <w:spacing w:before="50" w:after="50" w:line="240" w:lineRule="auto"/>
            </w:pPr>
            <w:r>
              <w:rPr>
                <w:rFonts w:ascii="Calibri" w:hAnsi="Calibri" w:cs="Calibri"/>
                <w:sz w:val="21"/>
                <w:szCs w:val="21"/>
              </w:rPr>
              <w:t xml:space="preserve">Siete días de construcción · Fecha de corte del seguimiento: 30 de noviembre de 2026</w:t>
            </w:r>
          </w:p>
        </w:tc>
      </w:tr>
    </w:tbl>
    <w:p>
      <w:pPr>
        <w:spacing w:before="0" w:after="0" w:line="264" w:lineRule="auto"/>
      </w:pPr>
    </w:p>
    <w:tbl>
      <w:tblPr>
        <w:tblW w:w="8838" w:type="dxa"/>
        <w:tblBorders>
          <w:top w:val="single" w:sz="4" w:space="0" w:color="9DC3E6"/>
          <w:left w:val="single" w:sz="18" w:space="0" w:color="2E74B5"/>
          <w:bottom w:val="single" w:sz="4" w:space="0" w:color="9DC3E6"/>
          <w:right w:val="single" w:sz="4" w:space="0" w:color="9DC3E6"/>
        </w:tblBorders>
        <w:tblCellMar>
          <w:top w:w="120" w:type="dxa"/>
          <w:left w:w="180" w:type="dxa"/>
          <w:bottom w:w="120" w:type="dxa"/>
          <w:right w:w="180" w:type="dxa"/>
        </w:tblCellMar>
      </w:tblPr>
      <w:tblGrid>
        <w:gridCol w:w="8838"/>
      </w:tblGrid>
      <w:tr>
        <w:trPr>
          <w:cantSplit/>
        </w:trPr>
        <w:tc>
          <w:tcPr>
            <w:tcW w:w="8838" w:type="dxa"/>
            <w:shd w:val="clear" w:color="auto" w:fill="F2F7FB"/>
          </w:tcPr>
          <w:p>
            <w:pPr>
              <w:jc w:val="both"/>
            </w:pPr>
            <w:r>
              <w:rPr>
                <w:rFonts w:ascii="Calibri" w:hAnsi="Calibri" w:cs="Calibri"/>
                <w:sz w:val="21"/>
                <w:szCs w:val="21"/>
              </w:rPr>
              <w:t xml:space="preserve">Esta versión reemplaza al documento de alcance del 7 de septiembre. Incorpora las decisiones tomadas con el cliente sobre el modelo de metas y tareas, el reporte mensual del indicador, los roles, el tablero, las notificaciones, la carga inicial desde el Excel del Plan de Acción en Salud y el stack tecnológico. El detalle técnico se entrega por separado en el documento de requerimientos del sistema.</w:t>
            </w:r>
          </w:p>
        </w:tc>
      </w:tr>
    </w:tbl>
    <w:p>
      <w:pPr>
        <w:spacing w:before="0" w:after="0" w:line="264" w:lineRule="auto"/>
      </w:pPr>
    </w:p>
    <w:p>
      <w:pPr>
        <w:keepNext/>
        <w:pBdr>
          <w:bottom w:val="single" w:sz="6" w:space="2" w:color="9DC3E6"/>
        </w:pBdr>
        <w:spacing w:before="200" w:after="120"/>
      </w:pPr>
      <w:r>
        <w:rPr>
          <w:rFonts w:ascii="Calibri" w:hAnsi="Calibri"/>
          <w:b/>
          <w:color w:val="1F3864"/>
          <w:sz w:val="26"/>
          <w:szCs w:val="26"/>
        </w:rPr>
        <w:t>1. Propósito</w:t>
      </w:r>
    </w:p>
    <w:p>
      <w:pPr>
        <w:spacing w:before="0" w:after="120" w:line="264" w:lineRule="auto"/>
        <w:jc w:val="both"/>
      </w:pPr>
      <w:r>
        <w:rPr>
          <w:rFonts w:ascii="Calibri" w:hAnsi="Calibri" w:cs="Calibri"/>
          <w:sz w:val="22"/>
          <w:szCs w:val="22"/>
        </w:rPr>
        <w:t xml:space="preserve">MÉTRICA es una aplicación web para que la Secretaría de Salud haga seguimiento a las </w:t>
      </w:r>
      <w:r>
        <w:rPr>
          <w:rFonts w:ascii="Calibri" w:hAnsi="Calibri" w:cs="Calibri"/>
          <w:b/>
          <w:sz w:val="22"/>
          <w:szCs w:val="22"/>
        </w:rPr>
        <w:t xml:space="preserve">276 metas</w:t>
      </w:r>
      <w:r>
        <w:rPr>
          <w:rFonts w:ascii="Calibri" w:hAnsi="Calibri" w:cs="Calibri"/>
          <w:sz w:val="22"/>
          <w:szCs w:val="22"/>
        </w:rPr>
        <w:t xml:space="preserve"> del Plan de Acción en Salud (PAS) de la vigencia 2026, distribuidas en seis áreas y veintiún componentes. Centraliza el </w:t>
      </w:r>
      <w:r>
        <w:rPr>
          <w:rFonts w:ascii="Calibri" w:hAnsi="Calibri" w:cs="Calibri"/>
          <w:b/>
          <w:sz w:val="22"/>
          <w:szCs w:val="22"/>
        </w:rPr>
        <w:t xml:space="preserve">reporte mensual de cada meta</w:t>
      </w:r>
      <w:r>
        <w:rPr>
          <w:rFonts w:ascii="Calibri" w:hAnsi="Calibri" w:cs="Calibri"/>
          <w:sz w:val="22"/>
          <w:szCs w:val="22"/>
        </w:rPr>
        <w:t xml:space="preserve"> (valor e inversión ejecutados), las </w:t>
      </w:r>
      <w:r>
        <w:rPr>
          <w:rFonts w:ascii="Calibri" w:hAnsi="Calibri" w:cs="Calibri"/>
          <w:b/>
          <w:sz w:val="22"/>
          <w:szCs w:val="22"/>
        </w:rPr>
        <w:t xml:space="preserve">tareas</w:t>
      </w:r>
      <w:r>
        <w:rPr>
          <w:rFonts w:ascii="Calibri" w:hAnsi="Calibri" w:cs="Calibri"/>
          <w:sz w:val="22"/>
          <w:szCs w:val="22"/>
        </w:rPr>
        <w:t xml:space="preserve"> con las que cada equipo ejecuta el plan, la </w:t>
      </w:r>
      <w:r>
        <w:rPr>
          <w:rFonts w:ascii="Calibri" w:hAnsi="Calibri" w:cs="Calibri"/>
          <w:b/>
          <w:sz w:val="22"/>
          <w:szCs w:val="22"/>
        </w:rPr>
        <w:t xml:space="preserve">agenda</w:t>
      </w:r>
      <w:r>
        <w:rPr>
          <w:rFonts w:ascii="Calibri" w:hAnsi="Calibri" w:cs="Calibri"/>
          <w:sz w:val="22"/>
          <w:szCs w:val="22"/>
        </w:rPr>
        <w:t xml:space="preserve"> del Despacho y un </w:t>
      </w:r>
      <w:r>
        <w:rPr>
          <w:rFonts w:ascii="Calibri" w:hAnsi="Calibri" w:cs="Calibri"/>
          <w:b/>
          <w:sz w:val="22"/>
          <w:szCs w:val="22"/>
        </w:rPr>
        <w:t xml:space="preserve">tablero de control</w:t>
      </w:r>
      <w:r>
        <w:rPr>
          <w:rFonts w:ascii="Calibri" w:hAnsi="Calibri" w:cs="Calibri"/>
          <w:sz w:val="22"/>
          <w:szCs w:val="22"/>
        </w:rPr>
        <w:t xml:space="preserve"> para que la Secretaria vea el estado del plan y de cada área y tome decisiones a tiempo.</w:t>
      </w:r>
    </w:p>
    <w:tbl>
      <w:tblPr>
        <w:tblW w:w="8838"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CellMar>
          <w:top w:w="60" w:type="dxa"/>
          <w:left w:w="110" w:type="dxa"/>
          <w:bottom w:w="60" w:type="dxa"/>
          <w:right w:w="110" w:type="dxa"/>
        </w:tblCellMar>
      </w:tblPr>
      <w:tblGrid>
        <w:gridCol w:w="4419"/>
        <w:gridCol w:w="4419"/>
      </w:tblGrid>
      <w:tr>
        <w:trPr>
          <w:cantSplit/>
          <w:tblHeader/>
        </w:trPr>
        <w:tc>
          <w:tcPr>
            <w:tcW w:w="4419" w:type="dxa"/>
            <w:shd w:val="clear" w:color="auto" w:fill="B25B5B"/>
            <w:vAlign w:val="center"/>
          </w:tcPr>
          <w:p>
            <w:pPr>
              <w:spacing w:before="50" w:after="50" w:line="240" w:lineRule="auto"/>
              <w:jc w:val="center"/>
            </w:pPr>
            <w:r>
              <w:rPr>
                <w:rFonts w:ascii="Calibri" w:hAnsi="Calibri" w:cs="Calibri"/>
                <w:b/>
                <w:color w:val="FFFFFF"/>
                <w:sz w:val="19"/>
                <w:szCs w:val="19"/>
              </w:rPr>
              <w:t xml:space="preserve">SITUACIÓN ANTERIOR</w:t>
            </w:r>
          </w:p>
        </w:tc>
        <w:tc>
          <w:tcPr>
            <w:tcW w:w="4419" w:type="dxa"/>
            <w:shd w:val="clear" w:color="auto" w:fill="4C8055"/>
            <w:vAlign w:val="center"/>
          </w:tcPr>
          <w:p>
            <w:pPr>
              <w:spacing w:before="50" w:after="50" w:line="240" w:lineRule="auto"/>
              <w:jc w:val="center"/>
            </w:pPr>
            <w:r>
              <w:rPr>
                <w:rFonts w:ascii="Calibri" w:hAnsi="Calibri" w:cs="Calibri"/>
                <w:b/>
                <w:color w:val="FFFFFF"/>
                <w:sz w:val="19"/>
                <w:szCs w:val="19"/>
              </w:rPr>
              <w:t xml:space="preserve">COMPORTAMIENTO ACTUAL</w:t>
            </w:r>
          </w:p>
        </w:tc>
      </w:tr>
      <w:tr>
        <w:trPr>
          <w:cantSplit/>
        </w:trPr>
        <w:tc>
          <w:tcPr>
            <w:tcW w:w="4419" w:type="dxa"/>
            <w:shd w:val="clear" w:color="auto" w:fill="FBF3F3"/>
            <w:vAlign w:val="top"/>
          </w:tcPr>
          <w:p>
            <w:pPr>
              <w:spacing w:before="50" w:after="50" w:line="240" w:lineRule="auto"/>
            </w:pPr>
            <w:r>
              <w:rPr>
                <w:rFonts w:ascii="Calibri" w:hAnsi="Calibri" w:cs="Calibri"/>
                <w:sz w:val="20"/>
                <w:szCs w:val="20"/>
              </w:rPr>
              <w:t xml:space="preserve">El avance de las 276 metas se consolida a mano en un Excel con un único acumulado semestral. No hay responsable asignado por meta ni registro mensual. Las evidencias viven en correos y carpetas. La Secretaria no tiene una vista continua del plan ni de lo que hace cada equipo.</w:t>
            </w:r>
          </w:p>
        </w:tc>
        <w:tc>
          <w:tcPr>
            <w:tcW w:w="4419" w:type="dxa"/>
            <w:shd w:val="clear" w:color="auto" w:fill="F2F8F3"/>
            <w:vAlign w:val="top"/>
          </w:tcPr>
          <w:p>
            <w:pPr>
              <w:spacing w:before="50" w:after="50" w:line="240" w:lineRule="auto"/>
            </w:pPr>
            <w:r>
              <w:rPr>
                <w:rFonts w:ascii="Calibri" w:hAnsi="Calibri" w:cs="Calibri"/>
                <w:sz w:val="20"/>
                <w:szCs w:val="20"/>
              </w:rPr>
              <w:t xml:space="preserve">Cada meta tiene responsable, programación mensual y semáforo. Los responsables reportan mes a mes con soporte; los equipos ejecutan tareas con evidencia; la agenda de la Secretaria nace de esas tareas. El tablero se actualiza con cada reporte y toda acción queda en una bitácora de auditoría.</w:t>
            </w:r>
          </w:p>
        </w:tc>
      </w:tr>
    </w:tbl>
    <w:p>
      <w:pPr>
        <w:spacing w:before="0" w:after="0" w:line="264" w:lineRule="auto"/>
      </w:pPr>
    </w:p>
    <w:p>
      <w:pPr>
        <w:keepNext/>
        <w:pBdr>
          <w:bottom w:val="single" w:sz="6" w:space="2" w:color="9DC3E6"/>
        </w:pBdr>
        <w:spacing w:before="200" w:after="120"/>
      </w:pPr>
      <w:r>
        <w:rPr>
          <w:rFonts w:ascii="Calibri" w:hAnsi="Calibri"/>
          <w:b/>
          <w:color w:val="1F3864"/>
          <w:sz w:val="26"/>
          <w:szCs w:val="26"/>
        </w:rPr>
        <w:t>2. Contexto y supuestos</w:t>
      </w:r>
    </w:p>
    <w:tbl>
      <w:tblPr>
        <w:tblW w:w="8838"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CellMar>
          <w:top w:w="60" w:type="dxa"/>
          <w:left w:w="110" w:type="dxa"/>
          <w:bottom w:w="60" w:type="dxa"/>
          <w:right w:w="110" w:type="dxa"/>
        </w:tblCellMar>
      </w:tblPr>
      <w:tblGrid>
        <w:gridCol w:w="1800"/>
        <w:gridCol w:w="7038"/>
      </w:tblGrid>
      <w:tr>
        <w:trPr>
          <w:cantSplit/>
          <w:tblHeader/>
        </w:trPr>
        <w:tc>
          <w:tcPr>
            <w:tcW w:w="1800" w:type="dxa"/>
            <w:shd w:val="clear" w:color="auto" w:fill="1F3864"/>
            <w:vAlign w:val="center"/>
          </w:tcPr>
          <w:p>
            <w:pPr>
              <w:spacing w:before="50" w:after="50" w:line="240" w:lineRule="auto"/>
            </w:pPr>
            <w:r>
              <w:rPr>
                <w:rFonts w:ascii="Calibri" w:hAnsi="Calibri" w:cs="Calibri"/>
                <w:b/>
                <w:color w:val="FFFFFF"/>
                <w:sz w:val="18"/>
                <w:szCs w:val="18"/>
              </w:rPr>
              <w:t xml:space="preserve">Elemento</w:t>
            </w:r>
          </w:p>
        </w:tc>
        <w:tc>
          <w:tcPr>
            <w:tcW w:w="7038" w:type="dxa"/>
            <w:shd w:val="clear" w:color="auto" w:fill="1F3864"/>
            <w:vAlign w:val="center"/>
          </w:tcPr>
          <w:p>
            <w:pPr>
              <w:spacing w:before="50" w:after="50" w:line="240" w:lineRule="auto"/>
            </w:pPr>
            <w:r>
              <w:rPr>
                <w:rFonts w:ascii="Calibri" w:hAnsi="Calibri" w:cs="Calibri"/>
                <w:b/>
                <w:color w:val="FFFFFF"/>
                <w:sz w:val="18"/>
                <w:szCs w:val="18"/>
              </w:rPr>
              <w:t xml:space="preserve">Definición</w:t>
            </w:r>
          </w:p>
        </w:tc>
      </w:tr>
      <w:tr>
        <w:trPr>
          <w:cantSplit/>
        </w:trPr>
        <w:tc>
          <w:tcPr>
            <w:tcW w:w="1800" w:type="dxa"/>
            <w:shd w:val="clear" w:color="auto" w:fill="F7FAFD"/>
            <w:vAlign w:val="top"/>
          </w:tcPr>
          <w:p>
            <w:pPr>
              <w:spacing w:before="50" w:after="50" w:line="240" w:lineRule="auto"/>
            </w:pPr>
            <w:r>
              <w:rPr>
                <w:rFonts w:ascii="Calibri" w:hAnsi="Calibri" w:cs="Calibri"/>
                <w:sz w:val="18"/>
                <w:szCs w:val="18"/>
              </w:rPr>
              <w:t xml:space="preserve">Estructura</w:t>
            </w:r>
          </w:p>
        </w:tc>
        <w:tc>
          <w:tcPr>
            <w:tcW w:w="7038" w:type="dxa"/>
            <w:shd w:val="clear" w:color="auto" w:fill="F7FAFD"/>
            <w:vAlign w:val="top"/>
          </w:tcPr>
          <w:p>
            <w:pPr>
              <w:spacing w:before="50" w:after="50" w:line="240" w:lineRule="auto"/>
            </w:pPr>
            <w:r>
              <w:rPr>
                <w:rFonts w:ascii="Calibri" w:hAnsi="Calibri" w:cs="Calibri"/>
                <w:sz w:val="18"/>
                <w:szCs w:val="18"/>
              </w:rPr>
              <w:t xml:space="preserve">Despacho (Secretaria y asistente de agenda) y seis áreas: Salud Pública, Planeación, Prestación de Servicios, Aseguramiento, Emergencias y Desastres, y Despacho como área con metas propias. Salud Pública se divide en 21 componentes (PAI, ETV, Salud Ambiental, Laboratorio, Salud Mental, etc.). Toda área y componente tiene líder.</w:t>
            </w:r>
          </w:p>
        </w:tc>
      </w:tr>
      <w:tr>
        <w:trPr>
          <w:cantSplit/>
        </w:trPr>
        <w:tc>
          <w:tcPr>
            <w:tcW w:w="1800" w:type="dxa"/>
            <w:vAlign w:val="top"/>
          </w:tcPr>
          <w:p>
            <w:pPr>
              <w:spacing w:before="50" w:after="50" w:line="240" w:lineRule="auto"/>
            </w:pPr>
            <w:r>
              <w:rPr>
                <w:rFonts w:ascii="Calibri" w:hAnsi="Calibri" w:cs="Calibri"/>
                <w:sz w:val="18"/>
                <w:szCs w:val="18"/>
              </w:rPr>
              <w:t xml:space="preserve">Metas</w:t>
            </w:r>
          </w:p>
        </w:tc>
        <w:tc>
          <w:tcPr>
            <w:tcW w:w="7038" w:type="dxa"/>
            <w:vAlign w:val="top"/>
          </w:tcPr>
          <w:p>
            <w:pPr>
              <w:spacing w:before="50" w:after="50" w:line="240" w:lineRule="auto"/>
            </w:pPr>
            <w:r>
              <w:rPr>
                <w:rFonts w:ascii="Calibri" w:hAnsi="Calibri" w:cs="Calibri"/>
                <w:sz w:val="18"/>
                <w:szCs w:val="18"/>
              </w:rPr>
              <w:t xml:space="preserve">276, definidas por el Ministerio de Salud en el PAS. 205 se miden en Número, 62 en Porcentaje, 8 en Documento y 1 en Días. Presupuesto programado total: $ 54.691 millones.</w:t>
            </w:r>
          </w:p>
        </w:tc>
      </w:tr>
      <w:tr>
        <w:trPr>
          <w:cantSplit/>
        </w:trPr>
        <w:tc>
          <w:tcPr>
            <w:tcW w:w="1800" w:type="dxa"/>
            <w:shd w:val="clear" w:color="auto" w:fill="F7FAFD"/>
            <w:vAlign w:val="top"/>
          </w:tcPr>
          <w:p>
            <w:pPr>
              <w:spacing w:before="50" w:after="50" w:line="240" w:lineRule="auto"/>
            </w:pPr>
            <w:r>
              <w:rPr>
                <w:rFonts w:ascii="Calibri" w:hAnsi="Calibri" w:cs="Calibri"/>
                <w:sz w:val="18"/>
                <w:szCs w:val="18"/>
              </w:rPr>
              <w:t xml:space="preserve">Fechas</w:t>
            </w:r>
          </w:p>
        </w:tc>
        <w:tc>
          <w:tcPr>
            <w:tcW w:w="7038" w:type="dxa"/>
            <w:shd w:val="clear" w:color="auto" w:fill="F7FAFD"/>
            <w:vAlign w:val="top"/>
          </w:tcPr>
          <w:p>
            <w:pPr>
              <w:spacing w:before="50" w:after="50" w:line="240" w:lineRule="auto"/>
            </w:pPr>
            <w:r>
              <w:rPr>
                <w:rFonts w:ascii="Calibri" w:hAnsi="Calibri" w:cs="Calibri"/>
                <w:sz w:val="18"/>
                <w:szCs w:val="18"/>
              </w:rPr>
              <w:t xml:space="preserve">Las metas tienen fecha oficial de fin (marzo de 2027 en 233 casos). La Secretaría define el 30 de noviembre de 2026 como fecha de corte del seguimiento; contra ella se calcula el semáforo. Es un parámetro ajustable.</w:t>
            </w:r>
          </w:p>
        </w:tc>
      </w:tr>
      <w:tr>
        <w:trPr>
          <w:cantSplit/>
        </w:trPr>
        <w:tc>
          <w:tcPr>
            <w:tcW w:w="1800" w:type="dxa"/>
            <w:vAlign w:val="top"/>
          </w:tcPr>
          <w:p>
            <w:pPr>
              <w:spacing w:before="50" w:after="50" w:line="240" w:lineRule="auto"/>
            </w:pPr>
            <w:r>
              <w:rPr>
                <w:rFonts w:ascii="Calibri" w:hAnsi="Calibri" w:cs="Calibri"/>
                <w:sz w:val="18"/>
                <w:szCs w:val="18"/>
              </w:rPr>
              <w:t xml:space="preserve">Usuarios</w:t>
            </w:r>
          </w:p>
        </w:tc>
        <w:tc>
          <w:tcPr>
            <w:tcW w:w="7038" w:type="dxa"/>
            <w:vAlign w:val="top"/>
          </w:tcPr>
          <w:p>
            <w:pPr>
              <w:spacing w:before="50" w:after="50" w:line="240" w:lineRule="auto"/>
            </w:pPr>
            <w:r>
              <w:rPr>
                <w:rFonts w:ascii="Calibri" w:hAnsi="Calibri" w:cs="Calibri"/>
                <w:sz w:val="18"/>
                <w:szCs w:val="18"/>
              </w:rPr>
              <w:t xml:space="preserve">3 a 5 por área o componente. Correo institucional @magdalena.gov.co.</w:t>
            </w:r>
          </w:p>
        </w:tc>
      </w:tr>
      <w:tr>
        <w:trPr>
          <w:cantSplit/>
        </w:trPr>
        <w:tc>
          <w:tcPr>
            <w:tcW w:w="1800" w:type="dxa"/>
            <w:shd w:val="clear" w:color="auto" w:fill="F7FAFD"/>
            <w:vAlign w:val="top"/>
          </w:tcPr>
          <w:p>
            <w:pPr>
              <w:spacing w:before="50" w:after="50" w:line="240" w:lineRule="auto"/>
            </w:pPr>
            <w:r>
              <w:rPr>
                <w:rFonts w:ascii="Calibri" w:hAnsi="Calibri" w:cs="Calibri"/>
                <w:sz w:val="18"/>
                <w:szCs w:val="18"/>
              </w:rPr>
              <w:t xml:space="preserve">Infraestructura</w:t>
            </w:r>
          </w:p>
        </w:tc>
        <w:tc>
          <w:tcPr>
            <w:tcW w:w="7038" w:type="dxa"/>
            <w:shd w:val="clear" w:color="auto" w:fill="F7FAFD"/>
            <w:vAlign w:val="top"/>
          </w:tcPr>
          <w:p>
            <w:pPr>
              <w:spacing w:before="50" w:after="50" w:line="240" w:lineRule="auto"/>
            </w:pPr>
            <w:r>
              <w:rPr>
                <w:rFonts w:ascii="Calibri" w:hAnsi="Calibri" w:cs="Calibri"/>
                <w:sz w:val="18"/>
                <w:szCs w:val="18"/>
              </w:rPr>
              <w:t xml:space="preserve">Servidor dedicado Windows Server 2019 (64 GB RAM) y PostgreSQL 16. Aplicación web.</w:t>
            </w:r>
          </w:p>
        </w:tc>
      </w:tr>
    </w:tbl>
    <w:p>
      <w:pPr>
        <w:spacing w:before="0" w:after="0" w:line="264" w:lineRule="auto"/>
      </w:pPr>
    </w:p>
    <w:p>
      <w:pPr>
        <w:keepNext/>
        <w:pBdr>
          <w:bottom w:val="single" w:sz="6" w:space="2" w:color="9DC3E6"/>
        </w:pBdr>
        <w:spacing w:before="200" w:after="120"/>
      </w:pPr>
      <w:r>
        <w:rPr>
          <w:rFonts w:ascii="Calibri" w:hAnsi="Calibri"/>
          <w:b/>
          <w:color w:val="1F3864"/>
          <w:sz w:val="26"/>
          <w:szCs w:val="26"/>
        </w:rPr>
        <w:t>3. Modelo conceptual</w:t>
      </w:r>
    </w:p>
    <w:p>
      <w:pPr>
        <w:spacing w:before="0" w:after="120" w:line="264" w:lineRule="auto"/>
        <w:jc w:val="both"/>
      </w:pPr>
      <w:r>
        <w:rPr>
          <w:rFonts w:ascii="Calibri" w:hAnsi="Calibri" w:cs="Calibri"/>
          <w:sz w:val="22"/>
          <w:szCs w:val="22"/>
        </w:rPr>
        <w:t xml:space="preserve">La información se organiza en dos niveles de trabajo y un registro mensual de seguimiento. No existe un nivel intermedio de actividad: se decidió que las tareas cuelguen directamente de la meta para que el sistema arranque con el plan real sin exigir cientos de registros adicionales.</w:t>
      </w:r>
    </w:p>
    <w:tbl>
      <w:tblPr>
        <w:tblW w:w="883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60" w:type="dxa"/>
          <w:left w:w="40" w:type="dxa"/>
          <w:bottom w:w="60" w:type="dxa"/>
          <w:right w:w="40" w:type="dxa"/>
        </w:tblCellMar>
      </w:tblPr>
      <w:tblGrid>
        <w:gridCol w:w="2774"/>
        <w:gridCol w:w="260"/>
        <w:gridCol w:w="2772"/>
        <w:gridCol w:w="260"/>
        <w:gridCol w:w="2772"/>
      </w:tblGrid>
      <w:tr>
        <w:trPr>
          <w:cantSplit/>
        </w:trPr>
        <w:tc>
          <w:tcPr>
            <w:tcW w:w="2774" w:type="dxa"/>
            <w:tcBorders>
              <w:top w:val="nil"/>
              <w:left w:val="nil"/>
              <w:bottom w:val="nil"/>
              <w:right w:val="nil"/>
            </w:tcBorders>
            <w:shd w:val="clear" w:color="auto" w:fill="E8F1FA"/>
            <w:vAlign w:val="center"/>
          </w:tcPr>
          <w:p>
            <w:pPr>
              <w:spacing w:before="60" w:after="20"/>
              <w:jc w:val="center"/>
            </w:pPr>
            <w:r>
              <w:rPr>
                <w:rFonts w:ascii="Calibri" w:hAnsi="Calibri"/>
                <w:b/>
                <w:color w:val="1F3864"/>
                <w:sz w:val="24"/>
              </w:rPr>
              <w:t>1</w:t>
            </w:r>
          </w:p>
          <w:p>
            <w:pPr>
              <w:spacing w:before="0" w:after="60"/>
              <w:jc w:val="center"/>
            </w:pPr>
            <w:r>
              <w:rPr>
                <w:rFonts w:ascii="Calibri" w:hAnsi="Calibri"/>
                <w:color w:val="1F3864"/>
                <w:sz w:val="18"/>
              </w:rPr>
              <w:t>Área / Componente</w:t>
            </w:r>
          </w:p>
        </w:tc>
        <w:tc>
          <w:tcPr>
            <w:tcW w:w="260" w:type="dxa"/>
            <w:tcBorders>
              <w:top w:val="nil"/>
              <w:left w:val="nil"/>
              <w:bottom w:val="nil"/>
              <w:right w:val="nil"/>
            </w:tcBorders>
            <w:vAlign w:val="center"/>
          </w:tcPr>
          <w:p>
            <w:pPr>
              <w:jc w:val="center"/>
            </w:pPr>
            <w:r>
              <w:rPr>
                <w:rFonts w:ascii="Calibri" w:hAnsi="Calibri"/>
                <w:b/>
                <w:color w:val="2E74B5"/>
                <w:sz w:val="24"/>
              </w:rPr>
              <w:t>→</w:t>
            </w:r>
          </w:p>
        </w:tc>
        <w:tc>
          <w:tcPr>
            <w:tcW w:w="2772" w:type="dxa"/>
            <w:tcBorders>
              <w:top w:val="nil"/>
              <w:left w:val="nil"/>
              <w:bottom w:val="nil"/>
              <w:right w:val="nil"/>
            </w:tcBorders>
            <w:shd w:val="clear" w:color="auto" w:fill="E8F1FA"/>
            <w:vAlign w:val="center"/>
          </w:tcPr>
          <w:p>
            <w:pPr>
              <w:spacing w:before="60" w:after="20"/>
              <w:jc w:val="center"/>
            </w:pPr>
            <w:r>
              <w:rPr>
                <w:rFonts w:ascii="Calibri" w:hAnsi="Calibri"/>
                <w:b/>
                <w:color w:val="1F3864"/>
                <w:sz w:val="24"/>
              </w:rPr>
              <w:t>2</w:t>
            </w:r>
          </w:p>
          <w:p>
            <w:pPr>
              <w:spacing w:before="0" w:after="60"/>
              <w:jc w:val="center"/>
            </w:pPr>
            <w:r>
              <w:rPr>
                <w:rFonts w:ascii="Calibri" w:hAnsi="Calibri"/>
                <w:color w:val="1F3864"/>
                <w:sz w:val="18"/>
              </w:rPr>
              <w:t>Meta</w:t>
            </w:r>
          </w:p>
        </w:tc>
        <w:tc>
          <w:tcPr>
            <w:tcW w:w="260" w:type="dxa"/>
            <w:tcBorders>
              <w:top w:val="nil"/>
              <w:left w:val="nil"/>
              <w:bottom w:val="nil"/>
              <w:right w:val="nil"/>
            </w:tcBorders>
            <w:vAlign w:val="center"/>
          </w:tcPr>
          <w:p>
            <w:pPr>
              <w:jc w:val="center"/>
            </w:pPr>
            <w:r>
              <w:rPr>
                <w:rFonts w:ascii="Calibri" w:hAnsi="Calibri"/>
                <w:b/>
                <w:color w:val="2E74B5"/>
                <w:sz w:val="24"/>
              </w:rPr>
              <w:t>→</w:t>
            </w:r>
          </w:p>
        </w:tc>
        <w:tc>
          <w:tcPr>
            <w:tcW w:w="2772" w:type="dxa"/>
            <w:tcBorders>
              <w:top w:val="nil"/>
              <w:left w:val="nil"/>
              <w:bottom w:val="nil"/>
              <w:right w:val="nil"/>
            </w:tcBorders>
            <w:shd w:val="clear" w:color="auto" w:fill="E8F1FA"/>
            <w:vAlign w:val="center"/>
          </w:tcPr>
          <w:p>
            <w:pPr>
              <w:spacing w:before="60" w:after="20"/>
              <w:jc w:val="center"/>
            </w:pPr>
            <w:r>
              <w:rPr>
                <w:rFonts w:ascii="Calibri" w:hAnsi="Calibri"/>
                <w:b/>
                <w:color w:val="1F3864"/>
                <w:sz w:val="24"/>
              </w:rPr>
              <w:t>3</w:t>
            </w:r>
          </w:p>
          <w:p>
            <w:pPr>
              <w:spacing w:before="0" w:after="60"/>
              <w:jc w:val="center"/>
            </w:pPr>
            <w:r>
              <w:rPr>
                <w:rFonts w:ascii="Calibri" w:hAnsi="Calibri"/>
                <w:color w:val="1F3864"/>
                <w:sz w:val="18"/>
              </w:rPr>
              <w:t>Tarea</w:t>
            </w:r>
          </w:p>
        </w:tc>
      </w:tr>
    </w:tbl>
    <w:p>
      <w:pPr>
        <w:spacing w:before="0" w:after="0" w:line="264" w:lineRule="auto"/>
      </w:pPr>
    </w:p>
    <w:tbl>
      <w:tblPr>
        <w:tblW w:w="8838"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CellMar>
          <w:top w:w="60" w:type="dxa"/>
          <w:left w:w="110" w:type="dxa"/>
          <w:bottom w:w="60" w:type="dxa"/>
          <w:right w:w="110" w:type="dxa"/>
        </w:tblCellMar>
      </w:tblPr>
      <w:tblGrid>
        <w:gridCol w:w="1500"/>
        <w:gridCol w:w="4300"/>
        <w:gridCol w:w="3038"/>
      </w:tblGrid>
      <w:tr>
        <w:trPr>
          <w:cantSplit/>
          <w:tblHeader/>
        </w:trPr>
        <w:tc>
          <w:tcPr>
            <w:tcW w:w="1500" w:type="dxa"/>
            <w:shd w:val="clear" w:color="auto" w:fill="1F3864"/>
            <w:vAlign w:val="center"/>
          </w:tcPr>
          <w:p>
            <w:pPr>
              <w:spacing w:before="50" w:after="50" w:line="240" w:lineRule="auto"/>
            </w:pPr>
            <w:r>
              <w:rPr>
                <w:rFonts w:ascii="Calibri" w:hAnsi="Calibri" w:cs="Calibri"/>
                <w:b/>
                <w:color w:val="FFFFFF"/>
                <w:sz w:val="18"/>
                <w:szCs w:val="18"/>
              </w:rPr>
              <w:t xml:space="preserve">Entidad</w:t>
            </w:r>
          </w:p>
        </w:tc>
        <w:tc>
          <w:tcPr>
            <w:tcW w:w="4300" w:type="dxa"/>
            <w:shd w:val="clear" w:color="auto" w:fill="1F3864"/>
            <w:vAlign w:val="center"/>
          </w:tcPr>
          <w:p>
            <w:pPr>
              <w:spacing w:before="50" w:after="50" w:line="240" w:lineRule="auto"/>
            </w:pPr>
            <w:r>
              <w:rPr>
                <w:rFonts w:ascii="Calibri" w:hAnsi="Calibri" w:cs="Calibri"/>
                <w:b/>
                <w:color w:val="FFFFFF"/>
                <w:sz w:val="18"/>
                <w:szCs w:val="18"/>
              </w:rPr>
              <w:t xml:space="preserve">Datos principales</w:t>
            </w:r>
          </w:p>
        </w:tc>
        <w:tc>
          <w:tcPr>
            <w:tcW w:w="3038" w:type="dxa"/>
            <w:shd w:val="clear" w:color="auto" w:fill="1F3864"/>
            <w:vAlign w:val="center"/>
          </w:tcPr>
          <w:p>
            <w:pPr>
              <w:spacing w:before="50" w:after="50" w:line="240" w:lineRule="auto"/>
            </w:pPr>
            <w:r>
              <w:rPr>
                <w:rFonts w:ascii="Calibri" w:hAnsi="Calibri" w:cs="Calibri"/>
                <w:b/>
                <w:color w:val="FFFFFF"/>
                <w:sz w:val="18"/>
                <w:szCs w:val="18"/>
              </w:rPr>
              <w:t xml:space="preserve">Cómo se alimenta</w:t>
            </w:r>
          </w:p>
        </w:tc>
      </w:tr>
      <w:tr>
        <w:trPr>
          <w:cantSplit/>
        </w:trPr>
        <w:tc>
          <w:tcPr>
            <w:tcW w:w="1500" w:type="dxa"/>
            <w:shd w:val="clear" w:color="auto" w:fill="F7FAFD"/>
            <w:vAlign w:val="top"/>
          </w:tcPr>
          <w:p>
            <w:pPr>
              <w:spacing w:before="50" w:after="50" w:line="240" w:lineRule="auto"/>
            </w:pPr>
            <w:r>
              <w:rPr>
                <w:rFonts w:ascii="Calibri" w:hAnsi="Calibri" w:cs="Calibri"/>
                <w:sz w:val="18"/>
                <w:szCs w:val="18"/>
              </w:rPr>
              <w:t xml:space="preserve">Meta</w:t>
            </w:r>
          </w:p>
        </w:tc>
        <w:tc>
          <w:tcPr>
            <w:tcW w:w="4300" w:type="dxa"/>
            <w:shd w:val="clear" w:color="auto" w:fill="F7FAFD"/>
            <w:vAlign w:val="top"/>
          </w:tcPr>
          <w:p>
            <w:pPr>
              <w:spacing w:before="50" w:after="50" w:line="240" w:lineRule="auto"/>
            </w:pPr>
            <w:r>
              <w:rPr>
                <w:rFonts w:ascii="Calibri" w:hAnsi="Calibri" w:cs="Calibri"/>
                <w:sz w:val="18"/>
                <w:szCs w:val="18"/>
              </w:rPr>
              <w:t xml:space="preserve">Código, descripción, valor meta, unidad, fechas oficial y de corte, área, componente, responsable, fuente de recursos, presupuesto, población sujeto, programación mensual, estado (Pendiente de completar, Abierta, Cumplida, Cerrada sin cumplir)</w:t>
            </w:r>
          </w:p>
        </w:tc>
        <w:tc>
          <w:tcPr>
            <w:tcW w:w="3038" w:type="dxa"/>
            <w:shd w:val="clear" w:color="auto" w:fill="F7FAFD"/>
            <w:vAlign w:val="top"/>
          </w:tcPr>
          <w:p>
            <w:pPr>
              <w:spacing w:before="50" w:after="50" w:line="240" w:lineRule="auto"/>
            </w:pPr>
            <w:r>
              <w:rPr>
                <w:rFonts w:ascii="Calibri" w:hAnsi="Calibri" w:cs="Calibri"/>
                <w:sz w:val="18"/>
                <w:szCs w:val="18"/>
              </w:rPr>
              <w:t xml:space="preserve">Carga inicial desde el Excel del PAS; el líder de área asigna responsables y ajusta la programación si no es uniforme.</w:t>
            </w:r>
          </w:p>
        </w:tc>
      </w:tr>
      <w:tr>
        <w:trPr>
          <w:cantSplit/>
        </w:trPr>
        <w:tc>
          <w:tcPr>
            <w:tcW w:w="1500" w:type="dxa"/>
            <w:vAlign w:val="top"/>
          </w:tcPr>
          <w:p>
            <w:pPr>
              <w:spacing w:before="50" w:after="50" w:line="240" w:lineRule="auto"/>
            </w:pPr>
            <w:r>
              <w:rPr>
                <w:rFonts w:ascii="Calibri" w:hAnsi="Calibri" w:cs="Calibri"/>
                <w:sz w:val="18"/>
                <w:szCs w:val="18"/>
              </w:rPr>
              <w:t xml:space="preserve">Reporte mensual</w:t>
            </w:r>
          </w:p>
        </w:tc>
        <w:tc>
          <w:tcPr>
            <w:tcW w:w="4300" w:type="dxa"/>
            <w:vAlign w:val="top"/>
          </w:tcPr>
          <w:p>
            <w:pPr>
              <w:spacing w:before="50" w:after="50" w:line="240" w:lineRule="auto"/>
            </w:pPr>
            <w:r>
              <w:rPr>
                <w:rFonts w:ascii="Calibri" w:hAnsi="Calibri" w:cs="Calibri"/>
                <w:sz w:val="18"/>
                <w:szCs w:val="18"/>
              </w:rPr>
              <w:t xml:space="preserve">Mes, valor ejecutado en el mes, costo ejecutado en el mes, observación, soporte opcional, quién reporta</w:t>
            </w:r>
          </w:p>
        </w:tc>
        <w:tc>
          <w:tcPr>
            <w:tcW w:w="3038" w:type="dxa"/>
            <w:vAlign w:val="top"/>
          </w:tcPr>
          <w:p>
            <w:pPr>
              <w:spacing w:before="50" w:after="50" w:line="240" w:lineRule="auto"/>
            </w:pPr>
            <w:r>
              <w:rPr>
                <w:rFonts w:ascii="Calibri" w:hAnsi="Calibri" w:cs="Calibri"/>
                <w:sz w:val="18"/>
                <w:szCs w:val="18"/>
              </w:rPr>
              <w:t xml:space="preserve">El responsable de la meta, una vez al mes. La historia de enero a agosto se carga desde el Excel (acumulado a junio) o desde una plantilla mensual.</w:t>
            </w:r>
          </w:p>
        </w:tc>
      </w:tr>
      <w:tr>
        <w:trPr>
          <w:cantSplit/>
        </w:trPr>
        <w:tc>
          <w:tcPr>
            <w:tcW w:w="1500" w:type="dxa"/>
            <w:shd w:val="clear" w:color="auto" w:fill="F7FAFD"/>
            <w:vAlign w:val="top"/>
          </w:tcPr>
          <w:p>
            <w:pPr>
              <w:spacing w:before="50" w:after="50" w:line="240" w:lineRule="auto"/>
            </w:pPr>
            <w:r>
              <w:rPr>
                <w:rFonts w:ascii="Calibri" w:hAnsi="Calibri" w:cs="Calibri"/>
                <w:sz w:val="18"/>
                <w:szCs w:val="18"/>
              </w:rPr>
              <w:t xml:space="preserve">Tarea</w:t>
            </w:r>
          </w:p>
        </w:tc>
        <w:tc>
          <w:tcPr>
            <w:tcW w:w="4300" w:type="dxa"/>
            <w:shd w:val="clear" w:color="auto" w:fill="F7FAFD"/>
            <w:vAlign w:val="top"/>
          </w:tcPr>
          <w:p>
            <w:pPr>
              <w:spacing w:before="50" w:after="50" w:line="240" w:lineRule="auto"/>
            </w:pPr>
            <w:r>
              <w:rPr>
                <w:rFonts w:ascii="Calibri" w:hAnsi="Calibri" w:cs="Calibri"/>
                <w:sz w:val="18"/>
                <w:szCs w:val="18"/>
              </w:rPr>
              <w:t xml:space="preserve">Título, responsable, fechas de inicio y fin, estado (Programada, En curso, Vencida, Finalizada), soporte obligatorio al cerrar; opcionales: hora, lugar, categoría, fase, recursos y presencia de la Secretaria</w:t>
            </w:r>
          </w:p>
        </w:tc>
        <w:tc>
          <w:tcPr>
            <w:tcW w:w="3038" w:type="dxa"/>
            <w:shd w:val="clear" w:color="auto" w:fill="F7FAFD"/>
            <w:vAlign w:val="top"/>
          </w:tcPr>
          <w:p>
            <w:pPr>
              <w:spacing w:before="50" w:after="50" w:line="240" w:lineRule="auto"/>
            </w:pPr>
            <w:r>
              <w:rPr>
                <w:rFonts w:ascii="Calibri" w:hAnsi="Calibri" w:cs="Calibri"/>
                <w:sz w:val="18"/>
                <w:szCs w:val="18"/>
              </w:rPr>
              <w:t xml:space="preserve">Líderes y funcionarios. Una tarea con hora es también un evento de agenda: no hay un módulo de eventos aparte.</w:t>
            </w:r>
          </w:p>
        </w:tc>
      </w:tr>
      <w:tr>
        <w:trPr>
          <w:cantSplit/>
        </w:trPr>
        <w:tc>
          <w:tcPr>
            <w:tcW w:w="1500" w:type="dxa"/>
            <w:vAlign w:val="top"/>
          </w:tcPr>
          <w:p>
            <w:pPr>
              <w:spacing w:before="50" w:after="50" w:line="240" w:lineRule="auto"/>
            </w:pPr>
            <w:r>
              <w:rPr>
                <w:rFonts w:ascii="Calibri" w:hAnsi="Calibri" w:cs="Calibri"/>
                <w:sz w:val="18"/>
                <w:szCs w:val="18"/>
              </w:rPr>
              <w:t xml:space="preserve">Observación del Despacho</w:t>
            </w:r>
          </w:p>
        </w:tc>
        <w:tc>
          <w:tcPr>
            <w:tcW w:w="4300" w:type="dxa"/>
            <w:vAlign w:val="top"/>
          </w:tcPr>
          <w:p>
            <w:pPr>
              <w:spacing w:before="50" w:after="50" w:line="240" w:lineRule="auto"/>
            </w:pPr>
            <w:r>
              <w:rPr>
                <w:rFonts w:ascii="Calibri" w:hAnsi="Calibri" w:cs="Calibri"/>
                <w:sz w:val="18"/>
                <w:szCs w:val="18"/>
              </w:rPr>
              <w:t xml:space="preserve">Texto, fecha, estado de atención y respuesta</w:t>
            </w:r>
          </w:p>
        </w:tc>
        <w:tc>
          <w:tcPr>
            <w:tcW w:w="3038" w:type="dxa"/>
            <w:vAlign w:val="top"/>
          </w:tcPr>
          <w:p>
            <w:pPr>
              <w:spacing w:before="50" w:after="50" w:line="240" w:lineRule="auto"/>
            </w:pPr>
            <w:r>
              <w:rPr>
                <w:rFonts w:ascii="Calibri" w:hAnsi="Calibri" w:cs="Calibri"/>
                <w:sz w:val="18"/>
                <w:szCs w:val="18"/>
              </w:rPr>
              <w:t xml:space="preserve">La Secretaria, sobre cualquier meta o tarea.</w:t>
            </w:r>
          </w:p>
        </w:tc>
      </w:tr>
    </w:tbl>
    <w:p>
      <w:pPr>
        <w:spacing w:before="0" w:after="0" w:line="264" w:lineRule="auto"/>
      </w:pPr>
    </w:p>
    <w:tbl>
      <w:tblPr>
        <w:tblW w:w="8838" w:type="dxa"/>
        <w:tblBorders>
          <w:top w:val="single" w:sz="4" w:space="0" w:color="9DC3E6"/>
          <w:left w:val="single" w:sz="18" w:space="0" w:color="2E74B5"/>
          <w:bottom w:val="single" w:sz="4" w:space="0" w:color="9DC3E6"/>
          <w:right w:val="single" w:sz="4" w:space="0" w:color="9DC3E6"/>
        </w:tblBorders>
        <w:tblCellMar>
          <w:top w:w="120" w:type="dxa"/>
          <w:left w:w="180" w:type="dxa"/>
          <w:bottom w:w="120" w:type="dxa"/>
          <w:right w:w="180" w:type="dxa"/>
        </w:tblCellMar>
      </w:tblPr>
      <w:tblGrid>
        <w:gridCol w:w="8838"/>
      </w:tblGrid>
      <w:tr>
        <w:trPr>
          <w:cantSplit/>
        </w:trPr>
        <w:tc>
          <w:tcPr>
            <w:tcW w:w="8838" w:type="dxa"/>
            <w:shd w:val="clear" w:color="auto" w:fill="F2F7FB"/>
          </w:tcPr>
          <w:p>
            <w:pPr>
              <w:jc w:val="both"/>
            </w:pPr>
            <w:r>
              <w:rPr>
                <w:rFonts w:ascii="Calibri" w:hAnsi="Calibri" w:cs="Calibri"/>
                <w:b/>
                <w:sz w:val="21"/>
                <w:szCs w:val="21"/>
              </w:rPr>
              <w:t xml:space="preserve">Dos avances por meta.</w:t>
            </w:r>
            <w:r>
              <w:rPr>
                <w:rFonts w:ascii="Calibri" w:hAnsi="Calibri" w:cs="Calibri"/>
                <w:sz w:val="21"/>
                <w:szCs w:val="21"/>
              </w:rPr>
              <w:t xml:space="preserve"> El *avance del indicador* (ejecutado acumulado ÷ valor meta) responde al Ministerio y es la cifra principal del tablero. El *avance operativo* (tareas finalizadas ÷ tareas totales) muestra cuánto del trabajo planeado se ha hecho. Nunca se reemplazan: cuando se separan mucho, el tablero lo evidencia.</w:t>
            </w:r>
          </w:p>
        </w:tc>
      </w:tr>
    </w:tbl>
    <w:p>
      <w:pPr>
        <w:spacing w:before="0" w:after="0" w:line="264" w:lineRule="auto"/>
      </w:pPr>
    </w:p>
    <w:p>
      <w:pPr>
        <w:keepNext/>
        <w:pBdr>
          <w:bottom w:val="single" w:sz="6" w:space="2" w:color="9DC3E6"/>
        </w:pBdr>
        <w:spacing w:before="200" w:after="120"/>
      </w:pPr>
      <w:r>
        <w:rPr>
          <w:rFonts w:ascii="Calibri" w:hAnsi="Calibri"/>
          <w:b/>
          <w:color w:val="1F3864"/>
          <w:sz w:val="26"/>
          <w:szCs w:val="26"/>
        </w:rPr>
        <w:t>4. Roles y permisos</w:t>
      </w:r>
    </w:p>
    <w:tbl>
      <w:tblPr>
        <w:tblW w:w="8838"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CellMar>
          <w:top w:w="60" w:type="dxa"/>
          <w:left w:w="110" w:type="dxa"/>
          <w:bottom w:w="60" w:type="dxa"/>
          <w:right w:w="110" w:type="dxa"/>
        </w:tblCellMar>
      </w:tblPr>
      <w:tblGrid>
        <w:gridCol w:w="2000"/>
        <w:gridCol w:w="2100"/>
        <w:gridCol w:w="4738"/>
      </w:tblGrid>
      <w:tr>
        <w:trPr>
          <w:cantSplit/>
          <w:tblHeader/>
        </w:trPr>
        <w:tc>
          <w:tcPr>
            <w:tcW w:w="2000" w:type="dxa"/>
            <w:shd w:val="clear" w:color="auto" w:fill="1F3864"/>
            <w:vAlign w:val="center"/>
          </w:tcPr>
          <w:p>
            <w:pPr>
              <w:spacing w:before="50" w:after="50" w:line="240" w:lineRule="auto"/>
            </w:pPr>
            <w:r>
              <w:rPr>
                <w:rFonts w:ascii="Calibri" w:hAnsi="Calibri" w:cs="Calibri"/>
                <w:b/>
                <w:color w:val="FFFFFF"/>
                <w:sz w:val="18"/>
                <w:szCs w:val="18"/>
              </w:rPr>
              <w:t xml:space="preserve">Rol</w:t>
            </w:r>
          </w:p>
        </w:tc>
        <w:tc>
          <w:tcPr>
            <w:tcW w:w="2100" w:type="dxa"/>
            <w:shd w:val="clear" w:color="auto" w:fill="1F3864"/>
            <w:vAlign w:val="center"/>
          </w:tcPr>
          <w:p>
            <w:pPr>
              <w:spacing w:before="50" w:after="50" w:line="240" w:lineRule="auto"/>
            </w:pPr>
            <w:r>
              <w:rPr>
                <w:rFonts w:ascii="Calibri" w:hAnsi="Calibri" w:cs="Calibri"/>
                <w:b/>
                <w:color w:val="FFFFFF"/>
                <w:sz w:val="18"/>
                <w:szCs w:val="18"/>
              </w:rPr>
              <w:t xml:space="preserve">Alcance</w:t>
            </w:r>
          </w:p>
        </w:tc>
        <w:tc>
          <w:tcPr>
            <w:tcW w:w="4738" w:type="dxa"/>
            <w:shd w:val="clear" w:color="auto" w:fill="1F3864"/>
            <w:vAlign w:val="center"/>
          </w:tcPr>
          <w:p>
            <w:pPr>
              <w:spacing w:before="50" w:after="50" w:line="240" w:lineRule="auto"/>
            </w:pPr>
            <w:r>
              <w:rPr>
                <w:rFonts w:ascii="Calibri" w:hAnsi="Calibri" w:cs="Calibri"/>
                <w:b/>
                <w:color w:val="FFFFFF"/>
                <w:sz w:val="18"/>
                <w:szCs w:val="18"/>
              </w:rPr>
              <w:t xml:space="preserve">Acciones principales</w:t>
            </w:r>
          </w:p>
        </w:tc>
      </w:tr>
      <w:tr>
        <w:trPr>
          <w:cantSplit/>
        </w:trPr>
        <w:tc>
          <w:tcPr>
            <w:tcW w:w="2000" w:type="dxa"/>
            <w:shd w:val="clear" w:color="auto" w:fill="F7FAFD"/>
            <w:vAlign w:val="top"/>
          </w:tcPr>
          <w:p>
            <w:pPr>
              <w:spacing w:before="50" w:after="50" w:line="240" w:lineRule="auto"/>
            </w:pPr>
            <w:r>
              <w:rPr>
                <w:rFonts w:ascii="Calibri" w:hAnsi="Calibri" w:cs="Calibri"/>
                <w:sz w:val="18"/>
                <w:szCs w:val="18"/>
              </w:rPr>
              <w:t xml:space="preserve">Secretaria de Salud</w:t>
            </w:r>
          </w:p>
        </w:tc>
        <w:tc>
          <w:tcPr>
            <w:tcW w:w="2100" w:type="dxa"/>
            <w:shd w:val="clear" w:color="auto" w:fill="F7FAFD"/>
            <w:vAlign w:val="top"/>
          </w:tcPr>
          <w:p>
            <w:pPr>
              <w:spacing w:before="50" w:after="50" w:line="240" w:lineRule="auto"/>
            </w:pPr>
            <w:r>
              <w:rPr>
                <w:rFonts w:ascii="Calibri" w:hAnsi="Calibri" w:cs="Calibri"/>
                <w:sz w:val="18"/>
                <w:szCs w:val="18"/>
              </w:rPr>
              <w:t xml:space="preserve">Toda la Secretaría</w:t>
            </w:r>
          </w:p>
        </w:tc>
        <w:tc>
          <w:tcPr>
            <w:tcW w:w="4738" w:type="dxa"/>
            <w:shd w:val="clear" w:color="auto" w:fill="F7FAFD"/>
            <w:vAlign w:val="top"/>
          </w:tcPr>
          <w:p>
            <w:pPr>
              <w:spacing w:before="50" w:after="50" w:line="240" w:lineRule="auto"/>
            </w:pPr>
            <w:r>
              <w:rPr>
                <w:rFonts w:ascii="Calibri" w:hAnsi="Calibri" w:cs="Calibri"/>
                <w:sz w:val="18"/>
                <w:szCs w:val="18"/>
              </w:rPr>
              <w:t xml:space="preserve">Consulta el tablero, confirma o declina su agenda, deja observaciones sobre metas y tareas, exporta.</w:t>
            </w:r>
          </w:p>
        </w:tc>
      </w:tr>
      <w:tr>
        <w:trPr>
          <w:cantSplit/>
        </w:trPr>
        <w:tc>
          <w:tcPr>
            <w:tcW w:w="2000" w:type="dxa"/>
            <w:vAlign w:val="top"/>
          </w:tcPr>
          <w:p>
            <w:pPr>
              <w:spacing w:before="50" w:after="50" w:line="240" w:lineRule="auto"/>
            </w:pPr>
            <w:r>
              <w:rPr>
                <w:rFonts w:ascii="Calibri" w:hAnsi="Calibri" w:cs="Calibri"/>
                <w:sz w:val="18"/>
                <w:szCs w:val="18"/>
              </w:rPr>
              <w:t xml:space="preserve">Asistente del Despacho</w:t>
            </w:r>
          </w:p>
        </w:tc>
        <w:tc>
          <w:tcPr>
            <w:tcW w:w="2100" w:type="dxa"/>
            <w:vAlign w:val="top"/>
          </w:tcPr>
          <w:p>
            <w:pPr>
              <w:spacing w:before="50" w:after="50" w:line="240" w:lineRule="auto"/>
            </w:pPr>
            <w:r>
              <w:rPr>
                <w:rFonts w:ascii="Calibri" w:hAnsi="Calibri" w:cs="Calibri"/>
                <w:sz w:val="18"/>
                <w:szCs w:val="18"/>
              </w:rPr>
              <w:t xml:space="preserve">Toda la Secretaría en consulta</w:t>
            </w:r>
          </w:p>
        </w:tc>
        <w:tc>
          <w:tcPr>
            <w:tcW w:w="4738" w:type="dxa"/>
            <w:vAlign w:val="top"/>
          </w:tcPr>
          <w:p>
            <w:pPr>
              <w:spacing w:before="50" w:after="50" w:line="240" w:lineRule="auto"/>
            </w:pPr>
            <w:r>
              <w:rPr>
                <w:rFonts w:ascii="Calibri" w:hAnsi="Calibri" w:cs="Calibri"/>
                <w:sz w:val="18"/>
                <w:szCs w:val="18"/>
              </w:rPr>
              <w:t xml:space="preserve">Gestiona la agenda de la Secretaria en su nombre; toda acción queda registrada a nombre del asistente.</w:t>
            </w:r>
          </w:p>
        </w:tc>
      </w:tr>
      <w:tr>
        <w:trPr>
          <w:cantSplit/>
        </w:trPr>
        <w:tc>
          <w:tcPr>
            <w:tcW w:w="2000" w:type="dxa"/>
            <w:shd w:val="clear" w:color="auto" w:fill="F7FAFD"/>
            <w:vAlign w:val="top"/>
          </w:tcPr>
          <w:p>
            <w:pPr>
              <w:spacing w:before="50" w:after="50" w:line="240" w:lineRule="auto"/>
            </w:pPr>
            <w:r>
              <w:rPr>
                <w:rFonts w:ascii="Calibri" w:hAnsi="Calibri" w:cs="Calibri"/>
                <w:sz w:val="18"/>
                <w:szCs w:val="18"/>
              </w:rPr>
              <w:t xml:space="preserve">Líder de área</w:t>
            </w:r>
          </w:p>
        </w:tc>
        <w:tc>
          <w:tcPr>
            <w:tcW w:w="2100" w:type="dxa"/>
            <w:shd w:val="clear" w:color="auto" w:fill="F7FAFD"/>
            <w:vAlign w:val="top"/>
          </w:tcPr>
          <w:p>
            <w:pPr>
              <w:spacing w:before="50" w:after="50" w:line="240" w:lineRule="auto"/>
            </w:pPr>
            <w:r>
              <w:rPr>
                <w:rFonts w:ascii="Calibri" w:hAnsi="Calibri" w:cs="Calibri"/>
                <w:sz w:val="18"/>
                <w:szCs w:val="18"/>
              </w:rPr>
              <w:t xml:space="preserve">Su área y sus componentes</w:t>
            </w:r>
          </w:p>
        </w:tc>
        <w:tc>
          <w:tcPr>
            <w:tcW w:w="4738" w:type="dxa"/>
            <w:shd w:val="clear" w:color="auto" w:fill="F7FAFD"/>
            <w:vAlign w:val="top"/>
          </w:tcPr>
          <w:p>
            <w:pPr>
              <w:spacing w:before="50" w:after="50" w:line="240" w:lineRule="auto"/>
            </w:pPr>
            <w:r>
              <w:rPr>
                <w:rFonts w:ascii="Calibri" w:hAnsi="Calibri" w:cs="Calibri"/>
                <w:sz w:val="18"/>
                <w:szCs w:val="18"/>
              </w:rPr>
              <w:t xml:space="preserve">Asigna responsables, corrige reportes de cualquier mes con justificación, crea y reabre tareas, ve el tablero de su área.</w:t>
            </w:r>
          </w:p>
        </w:tc>
      </w:tr>
      <w:tr>
        <w:trPr>
          <w:cantSplit/>
        </w:trPr>
        <w:tc>
          <w:tcPr>
            <w:tcW w:w="2000" w:type="dxa"/>
            <w:vAlign w:val="top"/>
          </w:tcPr>
          <w:p>
            <w:pPr>
              <w:spacing w:before="50" w:after="50" w:line="240" w:lineRule="auto"/>
            </w:pPr>
            <w:r>
              <w:rPr>
                <w:rFonts w:ascii="Calibri" w:hAnsi="Calibri" w:cs="Calibri"/>
                <w:sz w:val="18"/>
                <w:szCs w:val="18"/>
              </w:rPr>
              <w:t xml:space="preserve">Líder de componente</w:t>
            </w:r>
          </w:p>
        </w:tc>
        <w:tc>
          <w:tcPr>
            <w:tcW w:w="2100" w:type="dxa"/>
            <w:vAlign w:val="top"/>
          </w:tcPr>
          <w:p>
            <w:pPr>
              <w:spacing w:before="50" w:after="50" w:line="240" w:lineRule="auto"/>
            </w:pPr>
            <w:r>
              <w:rPr>
                <w:rFonts w:ascii="Calibri" w:hAnsi="Calibri" w:cs="Calibri"/>
                <w:sz w:val="18"/>
                <w:szCs w:val="18"/>
              </w:rPr>
              <w:t xml:space="preserve">Su componente</w:t>
            </w:r>
          </w:p>
        </w:tc>
        <w:tc>
          <w:tcPr>
            <w:tcW w:w="4738" w:type="dxa"/>
            <w:vAlign w:val="top"/>
          </w:tcPr>
          <w:p>
            <w:pPr>
              <w:spacing w:before="50" w:after="50" w:line="240" w:lineRule="auto"/>
            </w:pPr>
            <w:r>
              <w:rPr>
                <w:rFonts w:ascii="Calibri" w:hAnsi="Calibri" w:cs="Calibri"/>
                <w:sz w:val="18"/>
                <w:szCs w:val="18"/>
              </w:rPr>
              <w:t xml:space="preserve">Reporta el avance mensual de sus metas, ajusta la programación, crea y asigna tareas a su equipo.</w:t>
            </w:r>
          </w:p>
        </w:tc>
      </w:tr>
      <w:tr>
        <w:trPr>
          <w:cantSplit/>
        </w:trPr>
        <w:tc>
          <w:tcPr>
            <w:tcW w:w="2000" w:type="dxa"/>
            <w:shd w:val="clear" w:color="auto" w:fill="F7FAFD"/>
            <w:vAlign w:val="top"/>
          </w:tcPr>
          <w:p>
            <w:pPr>
              <w:spacing w:before="50" w:after="50" w:line="240" w:lineRule="auto"/>
            </w:pPr>
            <w:r>
              <w:rPr>
                <w:rFonts w:ascii="Calibri" w:hAnsi="Calibri" w:cs="Calibri"/>
                <w:sz w:val="18"/>
                <w:szCs w:val="18"/>
              </w:rPr>
              <w:t xml:space="preserve">Funcionario</w:t>
            </w:r>
          </w:p>
        </w:tc>
        <w:tc>
          <w:tcPr>
            <w:tcW w:w="2100" w:type="dxa"/>
            <w:shd w:val="clear" w:color="auto" w:fill="F7FAFD"/>
            <w:vAlign w:val="top"/>
          </w:tcPr>
          <w:p>
            <w:pPr>
              <w:spacing w:before="50" w:after="50" w:line="240" w:lineRule="auto"/>
            </w:pPr>
            <w:r>
              <w:rPr>
                <w:rFonts w:ascii="Calibri" w:hAnsi="Calibri" w:cs="Calibri"/>
                <w:sz w:val="18"/>
                <w:szCs w:val="18"/>
              </w:rPr>
              <w:t xml:space="preserve">Sus tareas</w:t>
            </w:r>
          </w:p>
        </w:tc>
        <w:tc>
          <w:tcPr>
            <w:tcW w:w="4738" w:type="dxa"/>
            <w:shd w:val="clear" w:color="auto" w:fill="F7FAFD"/>
            <w:vAlign w:val="top"/>
          </w:tcPr>
          <w:p>
            <w:pPr>
              <w:spacing w:before="50" w:after="50" w:line="240" w:lineRule="auto"/>
            </w:pPr>
            <w:r>
              <w:rPr>
                <w:rFonts w:ascii="Calibri" w:hAnsi="Calibri" w:cs="Calibri"/>
                <w:sz w:val="18"/>
                <w:szCs w:val="18"/>
              </w:rPr>
              <w:t xml:space="preserve">Ejecuta y cierra tareas con soporte; programa tareas propias; consulta las metas de su área.</w:t>
            </w:r>
          </w:p>
        </w:tc>
      </w:tr>
      <w:tr>
        <w:trPr>
          <w:cantSplit/>
        </w:trPr>
        <w:tc>
          <w:tcPr>
            <w:tcW w:w="2000" w:type="dxa"/>
            <w:vAlign w:val="top"/>
          </w:tcPr>
          <w:p>
            <w:pPr>
              <w:spacing w:before="50" w:after="50" w:line="240" w:lineRule="auto"/>
            </w:pPr>
            <w:r>
              <w:rPr>
                <w:rFonts w:ascii="Calibri" w:hAnsi="Calibri" w:cs="Calibri"/>
                <w:sz w:val="18"/>
                <w:szCs w:val="18"/>
              </w:rPr>
              <w:t xml:space="preserve">Administrador</w:t>
            </w:r>
          </w:p>
        </w:tc>
        <w:tc>
          <w:tcPr>
            <w:tcW w:w="2100" w:type="dxa"/>
            <w:vAlign w:val="top"/>
          </w:tcPr>
          <w:p>
            <w:pPr>
              <w:spacing w:before="50" w:after="50" w:line="240" w:lineRule="auto"/>
            </w:pPr>
            <w:r>
              <w:rPr>
                <w:rFonts w:ascii="Calibri" w:hAnsi="Calibri" w:cs="Calibri"/>
                <w:sz w:val="18"/>
                <w:szCs w:val="18"/>
              </w:rPr>
              <w:t xml:space="preserve">Configuración</w:t>
            </w:r>
          </w:p>
        </w:tc>
        <w:tc>
          <w:tcPr>
            <w:tcW w:w="4738" w:type="dxa"/>
            <w:vAlign w:val="top"/>
          </w:tcPr>
          <w:p>
            <w:pPr>
              <w:spacing w:before="50" w:after="50" w:line="240" w:lineRule="auto"/>
            </w:pPr>
            <w:r>
              <w:rPr>
                <w:rFonts w:ascii="Calibri" w:hAnsi="Calibri" w:cs="Calibri"/>
                <w:sz w:val="18"/>
                <w:szCs w:val="18"/>
              </w:rPr>
              <w:t xml:space="preserve">Áreas, componentes, usuarios, catálogos, parámetros, importación, herramientas de datos.</w:t>
            </w:r>
          </w:p>
        </w:tc>
      </w:tr>
    </w:tbl>
    <w:p>
      <w:pPr>
        <w:spacing w:before="0" w:after="0" w:line="264" w:lineRule="auto"/>
      </w:pPr>
    </w:p>
    <w:p>
      <w:pPr>
        <w:spacing w:before="0" w:after="120" w:line="264" w:lineRule="auto"/>
        <w:jc w:val="both"/>
      </w:pPr>
      <w:r>
        <w:rPr>
          <w:rFonts w:ascii="Calibri" w:hAnsi="Calibri" w:cs="Calibri"/>
          <w:sz w:val="22"/>
          <w:szCs w:val="22"/>
        </w:rPr>
        <w:t xml:space="preserve">El responsable de la meta es una asignación, no un rol: normalmente el líder de componente en Salud Pública y el líder de área en las demás. El sistema valida el alcance de cada acción en el servidor.</w:t>
      </w:r>
    </w:p>
    <w:p>
      <w:pPr>
        <w:keepNext/>
        <w:pBdr>
          <w:bottom w:val="single" w:sz="6" w:space="2" w:color="9DC3E6"/>
        </w:pBdr>
        <w:spacing w:before="200" w:after="120"/>
      </w:pPr>
      <w:r>
        <w:rPr>
          <w:rFonts w:ascii="Calibri" w:hAnsi="Calibri"/>
          <w:b/>
          <w:color w:val="1F3864"/>
          <w:sz w:val="26"/>
          <w:szCs w:val="26"/>
        </w:rPr>
        <w:t>5. Módulos funcionales</w:t>
      </w:r>
    </w:p>
    <w:p>
      <w:pPr>
        <w:keepNext/>
        <w:spacing w:before="120" w:after="60"/>
      </w:pPr>
      <w:r>
        <w:rPr>
          <w:rFonts w:ascii="Calibri" w:hAnsi="Calibri"/>
          <w:b/>
          <w:color w:val="2E74B5"/>
          <w:sz w:val="21"/>
        </w:rPr>
        <w:t>5.1 Metas y reporte mensual</w:t>
      </w:r>
    </w:p>
    <w:p>
      <w:pPr>
        <w:numPr>
          <w:ilvl w:val="0"/>
          <w:numId w:val="11"/>
        </w:numPr>
        <w:spacing w:after="60" w:line="252" w:lineRule="auto"/>
        <w:ind w:left="714" w:hanging="357"/>
        <w:jc w:val="both"/>
      </w:pPr>
      <w:r>
        <w:rPr>
          <w:rFonts w:ascii="Calibri" w:hAnsi="Calibri" w:cs="Calibri"/>
          <w:sz w:val="22"/>
          <w:szCs w:val="22"/>
        </w:rPr>
        <w:t xml:space="preserve">Lista de metas con filtros por área, componente, responsable, fuente de recursos, población, unidad, estado y semáforo; vista de ficha con ambos avances, gráfica mensual de programado y ejecutado, tabla de reportes, tareas e historial completo.</w:t>
      </w:r>
    </w:p>
    <w:p>
      <w:pPr>
        <w:numPr>
          <w:ilvl w:val="0"/>
          <w:numId w:val="11"/>
        </w:numPr>
        <w:spacing w:after="60" w:line="252" w:lineRule="auto"/>
        <w:ind w:left="714" w:hanging="357"/>
        <w:jc w:val="both"/>
      </w:pPr>
      <w:r>
        <w:rPr>
          <w:rFonts w:ascii="Calibri" w:hAnsi="Calibri" w:cs="Calibri"/>
          <w:sz w:val="22"/>
          <w:szCs w:val="22"/>
        </w:rPr>
        <w:t xml:space="preserve">Programación mensual generada de forma uniforme entre la fecha de inicio y la fecha de corte, editable por el responsable cuando la meta no es lineal.</w:t>
      </w:r>
    </w:p>
    <w:p>
      <w:pPr>
        <w:numPr>
          <w:ilvl w:val="0"/>
          <w:numId w:val="11"/>
        </w:numPr>
        <w:spacing w:after="60" w:line="252" w:lineRule="auto"/>
        <w:ind w:left="714" w:hanging="357"/>
        <w:jc w:val="both"/>
      </w:pPr>
      <w:r>
        <w:rPr>
          <w:rFonts w:ascii="Calibri" w:hAnsi="Calibri" w:cs="Calibri"/>
          <w:sz w:val="22"/>
          <w:szCs w:val="22"/>
        </w:rPr>
        <w:t xml:space="preserve">Reporte mensual con valor y costo ejecutados del mes, observación y soportes; cálculo inmediato de acumulados, avance y semáforo; cierre automático de la meta al alcanzar el valor.</w:t>
      </w:r>
    </w:p>
    <w:p>
      <w:pPr>
        <w:numPr>
          <w:ilvl w:val="0"/>
          <w:numId w:val="11"/>
        </w:numPr>
        <w:spacing w:after="60" w:line="252" w:lineRule="auto"/>
        <w:ind w:left="714" w:hanging="357"/>
        <w:jc w:val="both"/>
      </w:pPr>
      <w:r>
        <w:rPr>
          <w:rFonts w:ascii="Calibri" w:hAnsi="Calibri" w:cs="Calibri"/>
          <w:sz w:val="22"/>
          <w:szCs w:val="22"/>
        </w:rPr>
        <w:t xml:space="preserve">Bandeja «Mis metas» con las pendientes de reporte del mes anterior.</w:t>
      </w:r>
    </w:p>
    <w:p>
      <w:pPr>
        <w:numPr>
          <w:ilvl w:val="0"/>
          <w:numId w:val="11"/>
        </w:numPr>
        <w:spacing w:after="60" w:line="252" w:lineRule="auto"/>
        <w:ind w:left="714" w:hanging="357"/>
        <w:jc w:val="both"/>
      </w:pPr>
      <w:r>
        <w:rPr>
          <w:rFonts w:ascii="Calibri" w:hAnsi="Calibri" w:cs="Calibri"/>
          <w:sz w:val="22"/>
          <w:szCs w:val="22"/>
        </w:rPr>
        <w:t xml:space="preserve">Corrección de reportes de cualquier mes por el líder de área con justificación obligatoria y registro en la bitácora de auditoría.</w:t>
      </w:r>
    </w:p>
    <w:p>
      <w:pPr>
        <w:keepNext/>
        <w:spacing w:before="120" w:after="60"/>
      </w:pPr>
      <w:r>
        <w:rPr>
          <w:rFonts w:ascii="Calibri" w:hAnsi="Calibri"/>
          <w:b/>
          <w:color w:val="2E74B5"/>
          <w:sz w:val="21"/>
        </w:rPr>
        <w:t>5.2 Tareas y calendario</w:t>
      </w:r>
    </w:p>
    <w:p>
      <w:pPr>
        <w:numPr>
          <w:ilvl w:val="0"/>
          <w:numId w:val="11"/>
        </w:numPr>
        <w:spacing w:after="60" w:line="252" w:lineRule="auto"/>
        <w:ind w:left="714" w:hanging="357"/>
        <w:jc w:val="both"/>
      </w:pPr>
      <w:r>
        <w:rPr>
          <w:rFonts w:ascii="Calibri" w:hAnsi="Calibri" w:cs="Calibri"/>
          <w:sz w:val="22"/>
          <w:szCs w:val="22"/>
        </w:rPr>
        <w:t xml:space="preserve">Creación de tareas bajo una meta, con responsable, fechas y, si aplica, hora, lugar, categoría, fase y recursos requeridos.</w:t>
      </w:r>
    </w:p>
    <w:p>
      <w:pPr>
        <w:numPr>
          <w:ilvl w:val="0"/>
          <w:numId w:val="11"/>
        </w:numPr>
        <w:spacing w:after="60" w:line="252" w:lineRule="auto"/>
        <w:ind w:left="714" w:hanging="357"/>
        <w:jc w:val="both"/>
      </w:pPr>
      <w:r>
        <w:rPr>
          <w:rFonts w:ascii="Calibri" w:hAnsi="Calibri" w:cs="Calibri"/>
          <w:sz w:val="22"/>
          <w:szCs w:val="22"/>
        </w:rPr>
        <w:t xml:space="preserve">Estados automáticos por fecha: Programada, En curso, Vencida. Finalizar exige soporte y observación; el líder puede reabrir dentro de cinco días con comentario.</w:t>
      </w:r>
    </w:p>
    <w:p>
      <w:pPr>
        <w:numPr>
          <w:ilvl w:val="0"/>
          <w:numId w:val="11"/>
        </w:numPr>
        <w:spacing w:after="60" w:line="252" w:lineRule="auto"/>
        <w:ind w:left="714" w:hanging="357"/>
        <w:jc w:val="both"/>
      </w:pPr>
      <w:r>
        <w:rPr>
          <w:rFonts w:ascii="Calibri" w:hAnsi="Calibri" w:cs="Calibri"/>
          <w:sz w:val="22"/>
          <w:szCs w:val="22"/>
        </w:rPr>
        <w:t xml:space="preserve">Calendario en vistas de mes, semana y día, con colores por estado y filtros por área, componente y persona: la vista de «qué está haciendo cada uno».</w:t>
      </w:r>
    </w:p>
    <w:p>
      <w:pPr>
        <w:numPr>
          <w:ilvl w:val="0"/>
          <w:numId w:val="11"/>
        </w:numPr>
        <w:spacing w:after="60" w:line="252" w:lineRule="auto"/>
        <w:ind w:left="714" w:hanging="357"/>
        <w:jc w:val="both"/>
      </w:pPr>
      <w:r>
        <w:rPr>
          <w:rFonts w:ascii="Calibri" w:hAnsi="Calibri" w:cs="Calibri"/>
          <w:sz w:val="22"/>
          <w:szCs w:val="22"/>
        </w:rPr>
        <w:t xml:space="preserve">Detección de cruces de horario para la misma persona y para la Secretaria: el sistema advierte y pide confirmación, nunca bloquea.</w:t>
      </w:r>
    </w:p>
    <w:p>
      <w:pPr>
        <w:keepNext/>
        <w:spacing w:before="120" w:after="60"/>
      </w:pPr>
      <w:r>
        <w:rPr>
          <w:rFonts w:ascii="Calibri" w:hAnsi="Calibri"/>
          <w:b/>
          <w:color w:val="2E74B5"/>
          <w:sz w:val="21"/>
        </w:rPr>
        <w:t>5.3 Agenda del Despacho</w:t>
      </w:r>
    </w:p>
    <w:p>
      <w:pPr>
        <w:numPr>
          <w:ilvl w:val="0"/>
          <w:numId w:val="11"/>
        </w:numPr>
        <w:spacing w:after="60" w:line="252" w:lineRule="auto"/>
        <w:ind w:left="714" w:hanging="357"/>
        <w:jc w:val="both"/>
      </w:pPr>
      <w:r>
        <w:rPr>
          <w:rFonts w:ascii="Calibri" w:hAnsi="Calibri" w:cs="Calibri"/>
          <w:sz w:val="22"/>
          <w:szCs w:val="22"/>
        </w:rPr>
        <w:t xml:space="preserve">Las tareas marcadas con «requiere presencia de la Secretaria» llegan a su agenda en estado pendiente; la Secretaria o su asistente confirman o declinan (con motivo).</w:t>
      </w:r>
    </w:p>
    <w:p>
      <w:pPr>
        <w:numPr>
          <w:ilvl w:val="0"/>
          <w:numId w:val="11"/>
        </w:numPr>
        <w:spacing w:after="60" w:line="252" w:lineRule="auto"/>
        <w:ind w:left="714" w:hanging="357"/>
        <w:jc w:val="both"/>
      </w:pPr>
      <w:r>
        <w:rPr>
          <w:rFonts w:ascii="Calibri" w:hAnsi="Calibri" w:cs="Calibri"/>
          <w:sz w:val="22"/>
          <w:szCs w:val="22"/>
        </w:rPr>
        <w:t xml:space="preserve">Alerta cuando una confirmación se cruza con otro compromiso ya confirmado.</w:t>
      </w:r>
    </w:p>
    <w:p>
      <w:pPr>
        <w:numPr>
          <w:ilvl w:val="0"/>
          <w:numId w:val="11"/>
        </w:numPr>
        <w:spacing w:after="60" w:line="252" w:lineRule="auto"/>
        <w:ind w:left="714" w:hanging="357"/>
        <w:jc w:val="both"/>
      </w:pPr>
      <w:r>
        <w:rPr>
          <w:rFonts w:ascii="Calibri" w:hAnsi="Calibri" w:cs="Calibri"/>
          <w:sz w:val="22"/>
          <w:szCs w:val="22"/>
        </w:rPr>
        <w:t xml:space="preserve">Consolidado semanal de recursos requeridos para el área administrativa y logística.</w:t>
      </w:r>
    </w:p>
    <w:p>
      <w:pPr>
        <w:keepNext/>
        <w:spacing w:before="120" w:after="60"/>
      </w:pPr>
      <w:r>
        <w:rPr>
          <w:rFonts w:ascii="Calibri" w:hAnsi="Calibri"/>
          <w:b/>
          <w:color w:val="2E74B5"/>
          <w:sz w:val="21"/>
        </w:rPr>
        <w:t>5.4 Tablero de control</w:t>
      </w:r>
    </w:p>
    <w:p>
      <w:pPr>
        <w:numPr>
          <w:ilvl w:val="0"/>
          <w:numId w:val="11"/>
        </w:numPr>
        <w:spacing w:after="60" w:line="252" w:lineRule="auto"/>
        <w:ind w:left="714" w:hanging="357"/>
        <w:jc w:val="both"/>
      </w:pPr>
      <w:r>
        <w:rPr>
          <w:rFonts w:ascii="Calibri" w:hAnsi="Calibri" w:cs="Calibri"/>
          <w:sz w:val="22"/>
          <w:szCs w:val="22"/>
        </w:rPr>
        <w:t xml:space="preserve">Indicadores de cabecera: avance del plan frente a planeado con semáforo, metas cumplidas, metas en rojo, metas sin reporte del mes, ejecución presupuestal y días hasta la fecha de corte.</w:t>
      </w:r>
    </w:p>
    <w:p>
      <w:pPr>
        <w:numPr>
          <w:ilvl w:val="0"/>
          <w:numId w:val="11"/>
        </w:numPr>
        <w:spacing w:after="60" w:line="252" w:lineRule="auto"/>
        <w:ind w:left="714" w:hanging="357"/>
        <w:jc w:val="both"/>
      </w:pPr>
      <w:r>
        <w:rPr>
          <w:rFonts w:ascii="Calibri" w:hAnsi="Calibri" w:cs="Calibri"/>
          <w:sz w:val="22"/>
          <w:szCs w:val="22"/>
        </w:rPr>
        <w:t xml:space="preserve">Curva de avance planeado frente a ejecutado, mes a mes, con la fecha de corte marcada.</w:t>
      </w:r>
    </w:p>
    <w:p>
      <w:pPr>
        <w:numPr>
          <w:ilvl w:val="0"/>
          <w:numId w:val="11"/>
        </w:numPr>
        <w:spacing w:after="60" w:line="252" w:lineRule="auto"/>
        <w:ind w:left="714" w:hanging="357"/>
        <w:jc w:val="both"/>
      </w:pPr>
      <w:r>
        <w:rPr>
          <w:rFonts w:ascii="Calibri" w:hAnsi="Calibri" w:cs="Calibri"/>
          <w:sz w:val="22"/>
          <w:szCs w:val="22"/>
        </w:rPr>
        <w:t xml:space="preserve">Avance por área y por componente ordenado de peor a mejor brecha, con la marca de lo planeado; comparación entre avance operativo y avance del indicador.</w:t>
      </w:r>
    </w:p>
    <w:p>
      <w:pPr>
        <w:numPr>
          <w:ilvl w:val="0"/>
          <w:numId w:val="11"/>
        </w:numPr>
        <w:spacing w:after="60" w:line="252" w:lineRule="auto"/>
        <w:ind w:left="714" w:hanging="357"/>
        <w:jc w:val="both"/>
      </w:pPr>
      <w:r>
        <w:rPr>
          <w:rFonts w:ascii="Calibri" w:hAnsi="Calibri" w:cs="Calibri"/>
          <w:sz w:val="22"/>
          <w:szCs w:val="22"/>
        </w:rPr>
        <w:t xml:space="preserve">Listas accionables: metas en rojo, sin reporte, con observación pendiente; tareas vencidas y por vencer; metas con gasto por encima del avance.</w:t>
      </w:r>
    </w:p>
    <w:p>
      <w:pPr>
        <w:numPr>
          <w:ilvl w:val="0"/>
          <w:numId w:val="11"/>
        </w:numPr>
        <w:spacing w:after="60" w:line="252" w:lineRule="auto"/>
        <w:ind w:left="714" w:hanging="357"/>
        <w:jc w:val="both"/>
      </w:pPr>
      <w:r>
        <w:rPr>
          <w:rFonts w:ascii="Calibri" w:hAnsi="Calibri" w:cs="Calibri"/>
          <w:sz w:val="22"/>
          <w:szCs w:val="22"/>
        </w:rPr>
        <w:t xml:space="preserve">Agenda de la semana de la Secretaria y del equipo. Filtros globales, navegación descendente hasta el registro, modo presentación y exportación a PDF y Excel.</w:t>
      </w:r>
    </w:p>
    <w:p>
      <w:pPr>
        <w:numPr>
          <w:ilvl w:val="0"/>
          <w:numId w:val="11"/>
        </w:numPr>
        <w:spacing w:after="60" w:line="252" w:lineRule="auto"/>
        <w:ind w:left="714" w:hanging="357"/>
        <w:jc w:val="both"/>
      </w:pPr>
      <w:r>
        <w:rPr>
          <w:rFonts w:ascii="Calibri" w:hAnsi="Calibri" w:cs="Calibri"/>
          <w:sz w:val="22"/>
          <w:szCs w:val="22"/>
        </w:rPr>
        <w:t xml:space="preserve">Avance global calculado como promedio simple de las metas (sin ponderación por presupuesto).</w:t>
      </w:r>
    </w:p>
    <w:p>
      <w:pPr>
        <w:keepNext/>
        <w:spacing w:before="120" w:after="60"/>
      </w:pPr>
      <w:r>
        <w:rPr>
          <w:rFonts w:ascii="Calibri" w:hAnsi="Calibri"/>
          <w:b/>
          <w:color w:val="2E74B5"/>
          <w:sz w:val="21"/>
        </w:rPr>
        <w:t>5.5 Notificaciones</w:t>
      </w:r>
    </w:p>
    <w:p>
      <w:pPr>
        <w:numPr>
          <w:ilvl w:val="0"/>
          <w:numId w:val="11"/>
        </w:numPr>
        <w:spacing w:after="60" w:line="252" w:lineRule="auto"/>
        <w:ind w:left="714" w:hanging="357"/>
        <w:jc w:val="both"/>
      </w:pPr>
      <w:r>
        <w:rPr>
          <w:rFonts w:ascii="Calibri" w:hAnsi="Calibri" w:cs="Calibri"/>
          <w:sz w:val="22"/>
          <w:szCs w:val="22"/>
        </w:rPr>
        <w:t xml:space="preserve">Todas las notificaciones se generan dentro de la aplicación (campana y página de notificaciones): reporte pendiente y vencido, meta en rojo, meta cumplida, tarea asignada, por vencer y vencida, tarea reabierta, solicitud y respuesta de presencia de la Secretaria, cruce en la agenda del Despacho, observación del Despacho, gasto sobre avance y resumen semanal de los lunes.</w:t>
      </w:r>
    </w:p>
    <w:p>
      <w:pPr>
        <w:numPr>
          <w:ilvl w:val="0"/>
          <w:numId w:val="11"/>
        </w:numPr>
        <w:spacing w:after="60" w:line="252" w:lineRule="auto"/>
        <w:ind w:left="714" w:hanging="357"/>
        <w:jc w:val="both"/>
      </w:pPr>
      <w:r>
        <w:rPr>
          <w:rFonts w:ascii="Calibri" w:hAnsi="Calibri" w:cs="Calibri"/>
          <w:sz w:val="22"/>
          <w:szCs w:val="22"/>
        </w:rPr>
        <w:t xml:space="preserve">Envío por correo </w:t>
      </w:r>
      <w:r>
        <w:rPr>
          <w:rFonts w:ascii="Calibri" w:hAnsi="Calibri" w:cs="Calibri"/>
          <w:b/>
          <w:sz w:val="22"/>
          <w:szCs w:val="22"/>
        </w:rPr>
        <w:t xml:space="preserve">desactivado por defecto</w:t>
      </w:r>
      <w:r>
        <w:rPr>
          <w:rFonts w:ascii="Calibri" w:hAnsi="Calibri" w:cs="Calibri"/>
          <w:sz w:val="22"/>
          <w:szCs w:val="22"/>
        </w:rPr>
        <w:t xml:space="preserve">. El administrador puede activarlo de manera general y, una vez activo, elegir qué tipos de notificación generan correo. Cada usuario puede desactivar el correo de los recordatorios, no el de las alertas.</w:t>
      </w:r>
    </w:p>
    <w:p>
      <w:pPr>
        <w:keepNext/>
        <w:spacing w:before="120" w:after="60"/>
      </w:pPr>
      <w:r>
        <w:rPr>
          <w:rFonts w:ascii="Calibri" w:hAnsi="Calibri"/>
          <w:b/>
          <w:color w:val="2E74B5"/>
          <w:sz w:val="21"/>
        </w:rPr>
        <w:t>5.6 Administración y herramientas</w:t>
      </w:r>
    </w:p>
    <w:p>
      <w:pPr>
        <w:numPr>
          <w:ilvl w:val="0"/>
          <w:numId w:val="11"/>
        </w:numPr>
        <w:spacing w:after="60" w:line="252" w:lineRule="auto"/>
        <w:ind w:left="714" w:hanging="357"/>
        <w:jc w:val="both"/>
      </w:pPr>
      <w:r>
        <w:rPr>
          <w:rFonts w:ascii="Calibri" w:hAnsi="Calibri" w:cs="Calibri"/>
          <w:sz w:val="22"/>
          <w:szCs w:val="22"/>
        </w:rPr>
        <w:t xml:space="preserve">Áreas, componentes, usuarios y catálogos (unidades, poblaciones, fuentes de recursos, recursos, categorías de tarea).</w:t>
      </w:r>
    </w:p>
    <w:p>
      <w:pPr>
        <w:numPr>
          <w:ilvl w:val="0"/>
          <w:numId w:val="11"/>
        </w:numPr>
        <w:spacing w:after="60" w:line="252" w:lineRule="auto"/>
        <w:ind w:left="714" w:hanging="357"/>
        <w:jc w:val="both"/>
      </w:pPr>
      <w:r>
        <w:rPr>
          <w:rFonts w:ascii="Calibri" w:hAnsi="Calibri" w:cs="Calibri"/>
          <w:sz w:val="22"/>
          <w:szCs w:val="22"/>
        </w:rPr>
        <w:t xml:space="preserve">Parámetros: fecha de corte, umbrales del semáforo y de gasto, días de recordatorio y de reapertura, tamaño de soportes, correo.</w:t>
      </w:r>
    </w:p>
    <w:p>
      <w:pPr>
        <w:numPr>
          <w:ilvl w:val="0"/>
          <w:numId w:val="11"/>
        </w:numPr>
        <w:spacing w:after="60" w:line="252" w:lineRule="auto"/>
        <w:ind w:left="714" w:hanging="357"/>
        <w:jc w:val="both"/>
      </w:pPr>
      <w:r>
        <w:rPr>
          <w:rFonts w:ascii="Calibri" w:hAnsi="Calibri" w:cs="Calibri"/>
          <w:sz w:val="22"/>
          <w:szCs w:val="22"/>
        </w:rPr>
        <w:t xml:space="preserve">Importador del Excel del PAS con previsualización, advertencias por fila e informe descargable; puede ejecutarse varias veces sin duplicar.</w:t>
      </w:r>
    </w:p>
    <w:p>
      <w:pPr>
        <w:numPr>
          <w:ilvl w:val="0"/>
          <w:numId w:val="11"/>
        </w:numPr>
        <w:spacing w:after="60" w:line="252" w:lineRule="auto"/>
        <w:ind w:left="714" w:hanging="357"/>
        <w:jc w:val="both"/>
      </w:pPr>
      <w:r>
        <w:rPr>
          <w:rFonts w:ascii="Calibri" w:hAnsi="Calibri" w:cs="Calibri"/>
          <w:sz w:val="22"/>
          <w:szCs w:val="22"/>
        </w:rPr>
        <w:t xml:space="preserve">Herramientas: borrado de datos de prueba con doble confirmación, clave del administrador y copia de seguridad previa; generación y descarga de copias de seguridad completas (base de datos y soportes) para migrar de pruebas a producción; copia automática diaria.</w:t>
      </w:r>
    </w:p>
    <w:p>
      <w:pPr>
        <w:numPr>
          <w:ilvl w:val="0"/>
          <w:numId w:val="11"/>
        </w:numPr>
        <w:spacing w:after="60" w:line="252" w:lineRule="auto"/>
        <w:ind w:left="714" w:hanging="357"/>
        <w:jc w:val="both"/>
      </w:pPr>
      <w:r>
        <w:rPr>
          <w:rFonts w:ascii="Calibri" w:hAnsi="Calibri" w:cs="Calibri"/>
          <w:sz w:val="22"/>
          <w:szCs w:val="22"/>
        </w:rPr>
        <w:t xml:space="preserve">Bitácora de auditoría consultable por entidad, usuario, acción y fecha.</w:t>
      </w:r>
    </w:p>
    <w:p>
      <w:pPr>
        <w:keepNext/>
        <w:pBdr>
          <w:bottom w:val="single" w:sz="6" w:space="2" w:color="9DC3E6"/>
        </w:pBdr>
        <w:spacing w:before="200" w:after="120"/>
      </w:pPr>
      <w:r>
        <w:rPr>
          <w:rFonts w:ascii="Calibri" w:hAnsi="Calibri"/>
          <w:b/>
          <w:color w:val="1F3864"/>
          <w:sz w:val="26"/>
          <w:szCs w:val="26"/>
        </w:rPr>
        <w:t>6. Reglas de negocio principales</w:t>
      </w:r>
    </w:p>
    <w:p>
      <w:pPr>
        <w:spacing w:before="0" w:after="120" w:line="264" w:lineRule="auto"/>
        <w:jc w:val="both"/>
      </w:pPr>
      <w:r>
        <w:rPr>
          <w:rFonts w:ascii="Calibri" w:hAnsi="Calibri" w:cs="Calibri"/>
          <w:sz w:val="22"/>
          <w:szCs w:val="22"/>
        </w:rPr>
        <w:t xml:space="preserve">El documento técnico contiene las 35 reglas numeradas. Las que definen el comportamiento visible para los usuarios son:</w:t>
      </w:r>
    </w:p>
    <w:tbl>
      <w:tblPr>
        <w:tblW w:w="8838"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CellMar>
          <w:top w:w="60" w:type="dxa"/>
          <w:left w:w="110" w:type="dxa"/>
          <w:bottom w:w="60" w:type="dxa"/>
          <w:right w:w="110" w:type="dxa"/>
        </w:tblCellMar>
      </w:tblPr>
      <w:tblGrid>
        <w:gridCol w:w="1000"/>
        <w:gridCol w:w="7838"/>
      </w:tblGrid>
      <w:tr>
        <w:trPr>
          <w:cantSplit/>
          <w:tblHeader/>
        </w:trPr>
        <w:tc>
          <w:tcPr>
            <w:tcW w:w="1000" w:type="dxa"/>
            <w:shd w:val="clear" w:color="auto" w:fill="1F3864"/>
            <w:vAlign w:val="center"/>
          </w:tcPr>
          <w:p>
            <w:pPr>
              <w:spacing w:before="50" w:after="50" w:line="240" w:lineRule="auto"/>
              <w:jc w:val="center"/>
            </w:pPr>
            <w:r>
              <w:rPr>
                <w:rFonts w:ascii="Calibri" w:hAnsi="Calibri" w:cs="Calibri"/>
                <w:b/>
                <w:color w:val="FFFFFF"/>
                <w:sz w:val="18"/>
                <w:szCs w:val="18"/>
              </w:rPr>
              <w:t xml:space="preserve">N.º</w:t>
            </w:r>
          </w:p>
        </w:tc>
        <w:tc>
          <w:tcPr>
            <w:tcW w:w="7838" w:type="dxa"/>
            <w:shd w:val="clear" w:color="auto" w:fill="1F3864"/>
            <w:vAlign w:val="center"/>
          </w:tcPr>
          <w:p>
            <w:pPr>
              <w:spacing w:before="50" w:after="50" w:line="240" w:lineRule="auto"/>
            </w:pPr>
            <w:r>
              <w:rPr>
                <w:rFonts w:ascii="Calibri" w:hAnsi="Calibri" w:cs="Calibri"/>
                <w:b/>
                <w:color w:val="FFFFFF"/>
                <w:sz w:val="18"/>
                <w:szCs w:val="18"/>
              </w:rPr>
              <w:t xml:space="preserve">Regla</w:t>
            </w:r>
          </w:p>
        </w:tc>
      </w:tr>
      <w:tr>
        <w:trPr>
          <w:cantSplit/>
        </w:trPr>
        <w:tc>
          <w:tcPr>
            <w:tcW w:w="1000" w:type="dxa"/>
            <w:shd w:val="clear" w:color="auto" w:fill="F7FAFD"/>
            <w:vAlign w:val="top"/>
          </w:tcPr>
          <w:p>
            <w:pPr>
              <w:spacing w:before="50" w:after="50" w:line="240" w:lineRule="auto"/>
              <w:jc w:val="center"/>
            </w:pPr>
            <w:r>
              <w:rPr>
                <w:rFonts w:ascii="Calibri" w:hAnsi="Calibri" w:cs="Calibri"/>
                <w:sz w:val="18"/>
                <w:szCs w:val="18"/>
              </w:rPr>
              <w:t xml:space="preserve">RN-01</w:t>
            </w:r>
          </w:p>
        </w:tc>
        <w:tc>
          <w:tcPr>
            <w:tcW w:w="7838" w:type="dxa"/>
            <w:shd w:val="clear" w:color="auto" w:fill="F7FAFD"/>
            <w:vAlign w:val="top"/>
          </w:tcPr>
          <w:p>
            <w:pPr>
              <w:spacing w:before="50" w:after="50" w:line="240" w:lineRule="auto"/>
            </w:pPr>
            <w:r>
              <w:rPr>
                <w:rFonts w:ascii="Calibri" w:hAnsi="Calibri" w:cs="Calibri"/>
                <w:sz w:val="18"/>
                <w:szCs w:val="18"/>
              </w:rPr>
              <w:t xml:space="preserve">Avance del indicador = ejecutado acumulado ÷ valor meta, mostrado hasta 100 %; el valor real se conserva y se muestra en la ficha cuando lo supera.</w:t>
            </w:r>
          </w:p>
        </w:tc>
      </w:tr>
      <w:tr>
        <w:trPr>
          <w:cantSplit/>
        </w:trPr>
        <w:tc>
          <w:tcPr>
            <w:tcW w:w="1000" w:type="dxa"/>
            <w:vAlign w:val="top"/>
          </w:tcPr>
          <w:p>
            <w:pPr>
              <w:spacing w:before="50" w:after="50" w:line="240" w:lineRule="auto"/>
              <w:jc w:val="center"/>
            </w:pPr>
            <w:r>
              <w:rPr>
                <w:rFonts w:ascii="Calibri" w:hAnsi="Calibri" w:cs="Calibri"/>
                <w:sz w:val="18"/>
                <w:szCs w:val="18"/>
              </w:rPr>
              <w:t xml:space="preserve">RN-03</w:t>
            </w:r>
          </w:p>
        </w:tc>
        <w:tc>
          <w:tcPr>
            <w:tcW w:w="7838" w:type="dxa"/>
            <w:vAlign w:val="top"/>
          </w:tcPr>
          <w:p>
            <w:pPr>
              <w:spacing w:before="50" w:after="50" w:line="240" w:lineRule="auto"/>
            </w:pPr>
            <w:r>
              <w:rPr>
                <w:rFonts w:ascii="Calibri" w:hAnsi="Calibri" w:cs="Calibri"/>
                <w:sz w:val="18"/>
                <w:szCs w:val="18"/>
              </w:rPr>
              <w:t xml:space="preserve">Semáforo de la meta: verde si el avance es igual o superior al planeado a la fecha; amarillo si está hasta 15 puntos por debajo; rojo si está más abajo o si pasó la fecha de corte sin cumplir. Umbral parametrizable.</w:t>
            </w:r>
          </w:p>
        </w:tc>
      </w:tr>
      <w:tr>
        <w:trPr>
          <w:cantSplit/>
        </w:trPr>
        <w:tc>
          <w:tcPr>
            <w:tcW w:w="1000" w:type="dxa"/>
            <w:shd w:val="clear" w:color="auto" w:fill="F7FAFD"/>
            <w:vAlign w:val="top"/>
          </w:tcPr>
          <w:p>
            <w:pPr>
              <w:spacing w:before="50" w:after="50" w:line="240" w:lineRule="auto"/>
              <w:jc w:val="center"/>
            </w:pPr>
            <w:r>
              <w:rPr>
                <w:rFonts w:ascii="Calibri" w:hAnsi="Calibri" w:cs="Calibri"/>
                <w:sz w:val="18"/>
                <w:szCs w:val="18"/>
              </w:rPr>
              <w:t xml:space="preserve">RN-05</w:t>
            </w:r>
          </w:p>
        </w:tc>
        <w:tc>
          <w:tcPr>
            <w:tcW w:w="7838" w:type="dxa"/>
            <w:shd w:val="clear" w:color="auto" w:fill="F7FAFD"/>
            <w:vAlign w:val="top"/>
          </w:tcPr>
          <w:p>
            <w:pPr>
              <w:spacing w:before="50" w:after="50" w:line="240" w:lineRule="auto"/>
            </w:pPr>
            <w:r>
              <w:rPr>
                <w:rFonts w:ascii="Calibri" w:hAnsi="Calibri" w:cs="Calibri"/>
                <w:sz w:val="18"/>
                <w:szCs w:val="18"/>
              </w:rPr>
              <w:t xml:space="preserve">La meta pasa a Cumplida automáticamente al alcanzar el valor meta.</w:t>
            </w:r>
          </w:p>
        </w:tc>
      </w:tr>
      <w:tr>
        <w:trPr>
          <w:cantSplit/>
        </w:trPr>
        <w:tc>
          <w:tcPr>
            <w:tcW w:w="1000" w:type="dxa"/>
            <w:vAlign w:val="top"/>
          </w:tcPr>
          <w:p>
            <w:pPr>
              <w:spacing w:before="50" w:after="50" w:line="240" w:lineRule="auto"/>
              <w:jc w:val="center"/>
            </w:pPr>
            <w:r>
              <w:rPr>
                <w:rFonts w:ascii="Calibri" w:hAnsi="Calibri" w:cs="Calibri"/>
                <w:sz w:val="18"/>
                <w:szCs w:val="18"/>
              </w:rPr>
              <w:t xml:space="preserve">RN-07</w:t>
            </w:r>
          </w:p>
        </w:tc>
        <w:tc>
          <w:tcPr>
            <w:tcW w:w="7838" w:type="dxa"/>
            <w:vAlign w:val="top"/>
          </w:tcPr>
          <w:p>
            <w:pPr>
              <w:spacing w:before="50" w:after="50" w:line="240" w:lineRule="auto"/>
            </w:pPr>
            <w:r>
              <w:rPr>
                <w:rFonts w:ascii="Calibri" w:hAnsi="Calibri" w:cs="Calibri"/>
                <w:sz w:val="18"/>
                <w:szCs w:val="18"/>
              </w:rPr>
              <w:t xml:space="preserve">Una meta sin responsable queda «Pendiente de completar»: visible, sin reportes ni tareas, fuera del promedio de avance.</w:t>
            </w:r>
          </w:p>
        </w:tc>
      </w:tr>
      <w:tr>
        <w:trPr>
          <w:cantSplit/>
        </w:trPr>
        <w:tc>
          <w:tcPr>
            <w:tcW w:w="1000" w:type="dxa"/>
            <w:shd w:val="clear" w:color="auto" w:fill="F7FAFD"/>
            <w:vAlign w:val="top"/>
          </w:tcPr>
          <w:p>
            <w:pPr>
              <w:spacing w:before="50" w:after="50" w:line="240" w:lineRule="auto"/>
              <w:jc w:val="center"/>
            </w:pPr>
            <w:r>
              <w:rPr>
                <w:rFonts w:ascii="Calibri" w:hAnsi="Calibri" w:cs="Calibri"/>
                <w:sz w:val="18"/>
                <w:szCs w:val="18"/>
              </w:rPr>
              <w:t xml:space="preserve">RN-09</w:t>
            </w:r>
          </w:p>
        </w:tc>
        <w:tc>
          <w:tcPr>
            <w:tcW w:w="7838" w:type="dxa"/>
            <w:shd w:val="clear" w:color="auto" w:fill="F7FAFD"/>
            <w:vAlign w:val="top"/>
          </w:tcPr>
          <w:p>
            <w:pPr>
              <w:spacing w:before="50" w:after="50" w:line="240" w:lineRule="auto"/>
            </w:pPr>
            <w:r>
              <w:rPr>
                <w:rFonts w:ascii="Calibri" w:hAnsi="Calibri" w:cs="Calibri"/>
                <w:sz w:val="18"/>
                <w:szCs w:val="18"/>
              </w:rPr>
              <w:t xml:space="preserve">El avance global, por área y por componente es el promedio simple del avance de sus metas.</w:t>
            </w:r>
          </w:p>
        </w:tc>
      </w:tr>
      <w:tr>
        <w:trPr>
          <w:cantSplit/>
        </w:trPr>
        <w:tc>
          <w:tcPr>
            <w:tcW w:w="1000" w:type="dxa"/>
            <w:vAlign w:val="top"/>
          </w:tcPr>
          <w:p>
            <w:pPr>
              <w:spacing w:before="50" w:after="50" w:line="240" w:lineRule="auto"/>
              <w:jc w:val="center"/>
            </w:pPr>
            <w:r>
              <w:rPr>
                <w:rFonts w:ascii="Calibri" w:hAnsi="Calibri" w:cs="Calibri"/>
                <w:sz w:val="18"/>
                <w:szCs w:val="18"/>
              </w:rPr>
              <w:t xml:space="preserve">RN-11</w:t>
            </w:r>
          </w:p>
        </w:tc>
        <w:tc>
          <w:tcPr>
            <w:tcW w:w="7838" w:type="dxa"/>
            <w:vAlign w:val="top"/>
          </w:tcPr>
          <w:p>
            <w:pPr>
              <w:spacing w:before="50" w:after="50" w:line="240" w:lineRule="auto"/>
            </w:pPr>
            <w:r>
              <w:rPr>
                <w:rFonts w:ascii="Calibri" w:hAnsi="Calibri" w:cs="Calibri"/>
                <w:sz w:val="18"/>
                <w:szCs w:val="18"/>
              </w:rPr>
              <w:t xml:space="preserve">Un solo reporte por meta y mes; registrar de nuevo un mes es una corrección.</w:t>
            </w:r>
          </w:p>
        </w:tc>
      </w:tr>
      <w:tr>
        <w:trPr>
          <w:cantSplit/>
        </w:trPr>
        <w:tc>
          <w:tcPr>
            <w:tcW w:w="1000" w:type="dxa"/>
            <w:shd w:val="clear" w:color="auto" w:fill="F7FAFD"/>
            <w:vAlign w:val="top"/>
          </w:tcPr>
          <w:p>
            <w:pPr>
              <w:spacing w:before="50" w:after="50" w:line="240" w:lineRule="auto"/>
              <w:jc w:val="center"/>
            </w:pPr>
            <w:r>
              <w:rPr>
                <w:rFonts w:ascii="Calibri" w:hAnsi="Calibri" w:cs="Calibri"/>
                <w:sz w:val="18"/>
                <w:szCs w:val="18"/>
              </w:rPr>
              <w:t xml:space="preserve">RN-13</w:t>
            </w:r>
          </w:p>
        </w:tc>
        <w:tc>
          <w:tcPr>
            <w:tcW w:w="7838" w:type="dxa"/>
            <w:shd w:val="clear" w:color="auto" w:fill="F7FAFD"/>
            <w:vAlign w:val="top"/>
          </w:tcPr>
          <w:p>
            <w:pPr>
              <w:spacing w:before="50" w:after="50" w:line="240" w:lineRule="auto"/>
            </w:pPr>
            <w:r>
              <w:rPr>
                <w:rFonts w:ascii="Calibri" w:hAnsi="Calibri" w:cs="Calibri"/>
                <w:sz w:val="18"/>
                <w:szCs w:val="18"/>
              </w:rPr>
              <w:t xml:space="preserve">El líder de área corrige cualquier mes con justificación; queda en auditoría con valores anterior y nuevo.</w:t>
            </w:r>
          </w:p>
        </w:tc>
      </w:tr>
      <w:tr>
        <w:trPr>
          <w:cantSplit/>
        </w:trPr>
        <w:tc>
          <w:tcPr>
            <w:tcW w:w="1000" w:type="dxa"/>
            <w:vAlign w:val="top"/>
          </w:tcPr>
          <w:p>
            <w:pPr>
              <w:spacing w:before="50" w:after="50" w:line="240" w:lineRule="auto"/>
              <w:jc w:val="center"/>
            </w:pPr>
            <w:r>
              <w:rPr>
                <w:rFonts w:ascii="Calibri" w:hAnsi="Calibri" w:cs="Calibri"/>
                <w:sz w:val="18"/>
                <w:szCs w:val="18"/>
              </w:rPr>
              <w:t xml:space="preserve">RN-14</w:t>
            </w:r>
          </w:p>
        </w:tc>
        <w:tc>
          <w:tcPr>
            <w:tcW w:w="7838" w:type="dxa"/>
            <w:vAlign w:val="top"/>
          </w:tcPr>
          <w:p>
            <w:pPr>
              <w:spacing w:before="50" w:after="50" w:line="240" w:lineRule="auto"/>
            </w:pPr>
            <w:r>
              <w:rPr>
                <w:rFonts w:ascii="Calibri" w:hAnsi="Calibri" w:cs="Calibri"/>
                <w:sz w:val="18"/>
                <w:szCs w:val="18"/>
              </w:rPr>
              <w:t xml:space="preserve">Si el costo acumulado supera el presupuesto, el reporte exige justificación y el tablero lo resalta.</w:t>
            </w:r>
          </w:p>
        </w:tc>
      </w:tr>
      <w:tr>
        <w:trPr>
          <w:cantSplit/>
        </w:trPr>
        <w:tc>
          <w:tcPr>
            <w:tcW w:w="1000" w:type="dxa"/>
            <w:shd w:val="clear" w:color="auto" w:fill="F7FAFD"/>
            <w:vAlign w:val="top"/>
          </w:tcPr>
          <w:p>
            <w:pPr>
              <w:spacing w:before="50" w:after="50" w:line="240" w:lineRule="auto"/>
              <w:jc w:val="center"/>
            </w:pPr>
            <w:r>
              <w:rPr>
                <w:rFonts w:ascii="Calibri" w:hAnsi="Calibri" w:cs="Calibri"/>
                <w:sz w:val="18"/>
                <w:szCs w:val="18"/>
              </w:rPr>
              <w:t xml:space="preserve">RN-16</w:t>
            </w:r>
          </w:p>
        </w:tc>
        <w:tc>
          <w:tcPr>
            <w:tcW w:w="7838" w:type="dxa"/>
            <w:shd w:val="clear" w:color="auto" w:fill="F7FAFD"/>
            <w:vAlign w:val="top"/>
          </w:tcPr>
          <w:p>
            <w:pPr>
              <w:spacing w:before="50" w:after="50" w:line="240" w:lineRule="auto"/>
            </w:pPr>
            <w:r>
              <w:rPr>
                <w:rFonts w:ascii="Calibri" w:hAnsi="Calibri" w:cs="Calibri"/>
                <w:sz w:val="18"/>
                <w:szCs w:val="18"/>
              </w:rPr>
              <w:t xml:space="preserve">Del 1 al 4 de cada mes se recuerda el reporte al responsable; desde el 6 se alerta también al líder.</w:t>
            </w:r>
          </w:p>
        </w:tc>
      </w:tr>
      <w:tr>
        <w:trPr>
          <w:cantSplit/>
        </w:trPr>
        <w:tc>
          <w:tcPr>
            <w:tcW w:w="1000" w:type="dxa"/>
            <w:vAlign w:val="top"/>
          </w:tcPr>
          <w:p>
            <w:pPr>
              <w:spacing w:before="50" w:after="50" w:line="240" w:lineRule="auto"/>
              <w:jc w:val="center"/>
            </w:pPr>
            <w:r>
              <w:rPr>
                <w:rFonts w:ascii="Calibri" w:hAnsi="Calibri" w:cs="Calibri"/>
                <w:sz w:val="18"/>
                <w:szCs w:val="18"/>
              </w:rPr>
              <w:t xml:space="preserve">RN-21</w:t>
            </w:r>
          </w:p>
        </w:tc>
        <w:tc>
          <w:tcPr>
            <w:tcW w:w="7838" w:type="dxa"/>
            <w:vAlign w:val="top"/>
          </w:tcPr>
          <w:p>
            <w:pPr>
              <w:spacing w:before="50" w:after="50" w:line="240" w:lineRule="auto"/>
            </w:pPr>
            <w:r>
              <w:rPr>
                <w:rFonts w:ascii="Calibri" w:hAnsi="Calibri" w:cs="Calibri"/>
                <w:sz w:val="18"/>
                <w:szCs w:val="18"/>
              </w:rPr>
              <w:t xml:space="preserve">Las tareas cambian de estado por fecha: Programada, En curso, Vencida.</w:t>
            </w:r>
          </w:p>
        </w:tc>
      </w:tr>
      <w:tr>
        <w:trPr>
          <w:cantSplit/>
        </w:trPr>
        <w:tc>
          <w:tcPr>
            <w:tcW w:w="1000" w:type="dxa"/>
            <w:shd w:val="clear" w:color="auto" w:fill="F7FAFD"/>
            <w:vAlign w:val="top"/>
          </w:tcPr>
          <w:p>
            <w:pPr>
              <w:spacing w:before="50" w:after="50" w:line="240" w:lineRule="auto"/>
              <w:jc w:val="center"/>
            </w:pPr>
            <w:r>
              <w:rPr>
                <w:rFonts w:ascii="Calibri" w:hAnsi="Calibri" w:cs="Calibri"/>
                <w:sz w:val="18"/>
                <w:szCs w:val="18"/>
              </w:rPr>
              <w:t xml:space="preserve">RN-22</w:t>
            </w:r>
          </w:p>
        </w:tc>
        <w:tc>
          <w:tcPr>
            <w:tcW w:w="7838" w:type="dxa"/>
            <w:shd w:val="clear" w:color="auto" w:fill="F7FAFD"/>
            <w:vAlign w:val="top"/>
          </w:tcPr>
          <w:p>
            <w:pPr>
              <w:spacing w:before="50" w:after="50" w:line="240" w:lineRule="auto"/>
            </w:pPr>
            <w:r>
              <w:rPr>
                <w:rFonts w:ascii="Calibri" w:hAnsi="Calibri" w:cs="Calibri"/>
                <w:sz w:val="18"/>
                <w:szCs w:val="18"/>
              </w:rPr>
              <w:t xml:space="preserve">Finalizar una tarea exige al menos un soporte; el cierre es inmediato, sin aprobación previa.</w:t>
            </w:r>
          </w:p>
        </w:tc>
      </w:tr>
      <w:tr>
        <w:trPr>
          <w:cantSplit/>
        </w:trPr>
        <w:tc>
          <w:tcPr>
            <w:tcW w:w="1000" w:type="dxa"/>
            <w:vAlign w:val="top"/>
          </w:tcPr>
          <w:p>
            <w:pPr>
              <w:spacing w:before="50" w:after="50" w:line="240" w:lineRule="auto"/>
              <w:jc w:val="center"/>
            </w:pPr>
            <w:r>
              <w:rPr>
                <w:rFonts w:ascii="Calibri" w:hAnsi="Calibri" w:cs="Calibri"/>
                <w:sz w:val="18"/>
                <w:szCs w:val="18"/>
              </w:rPr>
              <w:t xml:space="preserve">RN-23</w:t>
            </w:r>
          </w:p>
        </w:tc>
        <w:tc>
          <w:tcPr>
            <w:tcW w:w="7838" w:type="dxa"/>
            <w:vAlign w:val="top"/>
          </w:tcPr>
          <w:p>
            <w:pPr>
              <w:spacing w:before="50" w:after="50" w:line="240" w:lineRule="auto"/>
            </w:pPr>
            <w:r>
              <w:rPr>
                <w:rFonts w:ascii="Calibri" w:hAnsi="Calibri" w:cs="Calibri"/>
                <w:sz w:val="18"/>
                <w:szCs w:val="18"/>
              </w:rPr>
              <w:t xml:space="preserve">El líder puede reabrir una tarea finalizada dentro de cinco días, con motivo.</w:t>
            </w:r>
          </w:p>
        </w:tc>
      </w:tr>
      <w:tr>
        <w:trPr>
          <w:cantSplit/>
        </w:trPr>
        <w:tc>
          <w:tcPr>
            <w:tcW w:w="1000" w:type="dxa"/>
            <w:shd w:val="clear" w:color="auto" w:fill="F7FAFD"/>
            <w:vAlign w:val="top"/>
          </w:tcPr>
          <w:p>
            <w:pPr>
              <w:spacing w:before="50" w:after="50" w:line="240" w:lineRule="auto"/>
              <w:jc w:val="center"/>
            </w:pPr>
            <w:r>
              <w:rPr>
                <w:rFonts w:ascii="Calibri" w:hAnsi="Calibri" w:cs="Calibri"/>
                <w:sz w:val="18"/>
                <w:szCs w:val="18"/>
              </w:rPr>
              <w:t xml:space="preserve">RN-27</w:t>
            </w:r>
          </w:p>
        </w:tc>
        <w:tc>
          <w:tcPr>
            <w:tcW w:w="7838" w:type="dxa"/>
            <w:shd w:val="clear" w:color="auto" w:fill="F7FAFD"/>
            <w:vAlign w:val="top"/>
          </w:tcPr>
          <w:p>
            <w:pPr>
              <w:spacing w:before="50" w:after="50" w:line="240" w:lineRule="auto"/>
            </w:pPr>
            <w:r>
              <w:rPr>
                <w:rFonts w:ascii="Calibri" w:hAnsi="Calibri" w:cs="Calibri"/>
                <w:sz w:val="18"/>
                <w:szCs w:val="18"/>
              </w:rPr>
              <w:t xml:space="preserve">Los cruces de horario se advierten y exigen confirmación; nunca bloquean.</w:t>
            </w:r>
          </w:p>
        </w:tc>
      </w:tr>
      <w:tr>
        <w:trPr>
          <w:cantSplit/>
        </w:trPr>
        <w:tc>
          <w:tcPr>
            <w:tcW w:w="1000" w:type="dxa"/>
            <w:vAlign w:val="top"/>
          </w:tcPr>
          <w:p>
            <w:pPr>
              <w:spacing w:before="50" w:after="50" w:line="240" w:lineRule="auto"/>
              <w:jc w:val="center"/>
            </w:pPr>
            <w:r>
              <w:rPr>
                <w:rFonts w:ascii="Calibri" w:hAnsi="Calibri" w:cs="Calibri"/>
                <w:sz w:val="18"/>
                <w:szCs w:val="18"/>
              </w:rPr>
              <w:t xml:space="preserve">RN-28</w:t>
            </w:r>
          </w:p>
        </w:tc>
        <w:tc>
          <w:tcPr>
            <w:tcW w:w="7838" w:type="dxa"/>
            <w:vAlign w:val="top"/>
          </w:tcPr>
          <w:p>
            <w:pPr>
              <w:spacing w:before="50" w:after="50" w:line="240" w:lineRule="auto"/>
            </w:pPr>
            <w:r>
              <w:rPr>
                <w:rFonts w:ascii="Calibri" w:hAnsi="Calibri" w:cs="Calibri"/>
                <w:sz w:val="18"/>
                <w:szCs w:val="18"/>
              </w:rPr>
              <w:t xml:space="preserve">Una tarea con presencia de la Secretaria queda pendiente hasta que el Despacho la confirme o decline.</w:t>
            </w:r>
          </w:p>
        </w:tc>
      </w:tr>
      <w:tr>
        <w:trPr>
          <w:cantSplit/>
        </w:trPr>
        <w:tc>
          <w:tcPr>
            <w:tcW w:w="1000" w:type="dxa"/>
            <w:shd w:val="clear" w:color="auto" w:fill="F7FAFD"/>
            <w:vAlign w:val="top"/>
          </w:tcPr>
          <w:p>
            <w:pPr>
              <w:spacing w:before="50" w:after="50" w:line="240" w:lineRule="auto"/>
              <w:jc w:val="center"/>
            </w:pPr>
            <w:r>
              <w:rPr>
                <w:rFonts w:ascii="Calibri" w:hAnsi="Calibri" w:cs="Calibri"/>
                <w:sz w:val="18"/>
                <w:szCs w:val="18"/>
              </w:rPr>
              <w:t xml:space="preserve">RN-32</w:t>
            </w:r>
          </w:p>
        </w:tc>
        <w:tc>
          <w:tcPr>
            <w:tcW w:w="7838" w:type="dxa"/>
            <w:shd w:val="clear" w:color="auto" w:fill="F7FAFD"/>
            <w:vAlign w:val="top"/>
          </w:tcPr>
          <w:p>
            <w:pPr>
              <w:spacing w:before="50" w:after="50" w:line="240" w:lineRule="auto"/>
            </w:pPr>
            <w:r>
              <w:rPr>
                <w:rFonts w:ascii="Calibri" w:hAnsi="Calibri" w:cs="Calibri"/>
                <w:sz w:val="18"/>
                <w:szCs w:val="18"/>
              </w:rPr>
              <w:t xml:space="preserve">Toda notificación nace en la aplicación; el correo solo se envía si el administrador lo activó de forma general y para ese tipo.</w:t>
            </w:r>
          </w:p>
        </w:tc>
      </w:tr>
    </w:tbl>
    <w:p>
      <w:pPr>
        <w:spacing w:before="0" w:after="0" w:line="264" w:lineRule="auto"/>
      </w:pPr>
    </w:p>
    <w:p>
      <w:pPr>
        <w:spacing w:after="0"/>
      </w:pPr>
      <w:r>
        <w:br w:type="page"/>
      </w:r>
    </w:p>
    <w:p>
      <w:pPr>
        <w:keepNext/>
        <w:pBdr>
          <w:bottom w:val="single" w:sz="6" w:space="2" w:color="9DC3E6"/>
        </w:pBdr>
        <w:spacing w:before="200" w:after="120"/>
      </w:pPr>
      <w:r>
        <w:rPr>
          <w:rFonts w:ascii="Calibri" w:hAnsi="Calibri"/>
          <w:b/>
          <w:color w:val="1F3864"/>
          <w:sz w:val="26"/>
          <w:szCs w:val="26"/>
        </w:rPr>
        <w:t>7. Carga inicial y depuración de datos</w:t>
      </w:r>
    </w:p>
    <w:p>
      <w:pPr>
        <w:spacing w:before="0" w:after="120" w:line="264" w:lineRule="auto"/>
        <w:jc w:val="both"/>
      </w:pPr>
      <w:r>
        <w:rPr>
          <w:rFonts w:ascii="Calibri" w:hAnsi="Calibri" w:cs="Calibri"/>
          <w:sz w:val="22"/>
          <w:szCs w:val="22"/>
        </w:rPr>
        <w:t xml:space="preserve">La carga inicial es el trabajo crítico de la primera semana y se hace en paralelo a la construcción. Se usa el Excel actual del PAS sin modificar su estructura; el importador marca las filas incompletas en lugar de rechazarlas.</w:t>
      </w:r>
    </w:p>
    <w:tbl>
      <w:tblPr>
        <w:tblW w:w="8838"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CellMar>
          <w:top w:w="60" w:type="dxa"/>
          <w:left w:w="110" w:type="dxa"/>
          <w:bottom w:w="60" w:type="dxa"/>
          <w:right w:w="110" w:type="dxa"/>
        </w:tblCellMar>
      </w:tblPr>
      <w:tblGrid>
        <w:gridCol w:w="4200"/>
        <w:gridCol w:w="4638"/>
      </w:tblGrid>
      <w:tr>
        <w:trPr>
          <w:cantSplit/>
          <w:tblHeader/>
        </w:trPr>
        <w:tc>
          <w:tcPr>
            <w:tcW w:w="4200" w:type="dxa"/>
            <w:shd w:val="clear" w:color="auto" w:fill="1F3864"/>
            <w:vAlign w:val="center"/>
          </w:tcPr>
          <w:p>
            <w:pPr>
              <w:spacing w:before="50" w:after="50" w:line="240" w:lineRule="auto"/>
            </w:pPr>
            <w:r>
              <w:rPr>
                <w:rFonts w:ascii="Calibri" w:hAnsi="Calibri" w:cs="Calibri"/>
                <w:b/>
                <w:color w:val="FFFFFF"/>
                <w:sz w:val="18"/>
                <w:szCs w:val="18"/>
              </w:rPr>
              <w:t xml:space="preserve">Situación encontrada en el Excel</w:t>
            </w:r>
          </w:p>
        </w:tc>
        <w:tc>
          <w:tcPr>
            <w:tcW w:w="4638" w:type="dxa"/>
            <w:shd w:val="clear" w:color="auto" w:fill="1F3864"/>
            <w:vAlign w:val="center"/>
          </w:tcPr>
          <w:p>
            <w:pPr>
              <w:spacing w:before="50" w:after="50" w:line="240" w:lineRule="auto"/>
            </w:pPr>
            <w:r>
              <w:rPr>
                <w:rFonts w:ascii="Calibri" w:hAnsi="Calibri" w:cs="Calibri"/>
                <w:b/>
                <w:color w:val="FFFFFF"/>
                <w:sz w:val="18"/>
                <w:szCs w:val="18"/>
              </w:rPr>
              <w:t xml:space="preserve">Cómo se resuelve</w:t>
            </w:r>
          </w:p>
        </w:tc>
      </w:tr>
      <w:tr>
        <w:trPr>
          <w:cantSplit/>
        </w:trPr>
        <w:tc>
          <w:tcPr>
            <w:tcW w:w="4200" w:type="dxa"/>
            <w:shd w:val="clear" w:color="auto" w:fill="F7FAFD"/>
            <w:vAlign w:val="top"/>
          </w:tcPr>
          <w:p>
            <w:pPr>
              <w:spacing w:before="50" w:after="50" w:line="240" w:lineRule="auto"/>
            </w:pPr>
            <w:r>
              <w:rPr>
                <w:rFonts w:ascii="Calibri" w:hAnsi="Calibri" w:cs="Calibri"/>
                <w:sz w:val="18"/>
                <w:szCs w:val="18"/>
              </w:rPr>
              <w:t xml:space="preserve">Responsable vacío en las 276 metas</w:t>
            </w:r>
          </w:p>
        </w:tc>
        <w:tc>
          <w:tcPr>
            <w:tcW w:w="4638" w:type="dxa"/>
            <w:shd w:val="clear" w:color="auto" w:fill="F7FAFD"/>
            <w:vAlign w:val="top"/>
          </w:tcPr>
          <w:p>
            <w:pPr>
              <w:spacing w:before="50" w:after="50" w:line="240" w:lineRule="auto"/>
            </w:pPr>
            <w:r>
              <w:rPr>
                <w:rFonts w:ascii="Calibri" w:hAnsi="Calibri" w:cs="Calibri"/>
                <w:sz w:val="18"/>
                <w:szCs w:val="18"/>
              </w:rPr>
              <w:t xml:space="preserve">Se cargan como «Pendiente de completar»; el líder de área asigna desde la aplicación.</w:t>
            </w:r>
          </w:p>
        </w:tc>
      </w:tr>
      <w:tr>
        <w:trPr>
          <w:cantSplit/>
        </w:trPr>
        <w:tc>
          <w:tcPr>
            <w:tcW w:w="4200" w:type="dxa"/>
            <w:vAlign w:val="top"/>
          </w:tcPr>
          <w:p>
            <w:pPr>
              <w:spacing w:before="50" w:after="50" w:line="240" w:lineRule="auto"/>
            </w:pPr>
            <w:r>
              <w:rPr>
                <w:rFonts w:ascii="Calibri" w:hAnsi="Calibri" w:cs="Calibri"/>
                <w:sz w:val="18"/>
                <w:szCs w:val="18"/>
              </w:rPr>
              <w:t xml:space="preserve">87 metas de Salud Pública sin componente</w:t>
            </w:r>
          </w:p>
        </w:tc>
        <w:tc>
          <w:tcPr>
            <w:tcW w:w="4638" w:type="dxa"/>
            <w:vAlign w:val="top"/>
          </w:tcPr>
          <w:p>
            <w:pPr>
              <w:spacing w:before="50" w:after="50" w:line="240" w:lineRule="auto"/>
            </w:pPr>
            <w:r>
              <w:rPr>
                <w:rFonts w:ascii="Calibri" w:hAnsi="Calibri" w:cs="Calibri"/>
                <w:sz w:val="18"/>
                <w:szCs w:val="18"/>
              </w:rPr>
              <w:t xml:space="preserve">Se cargan con advertencia; el líder de área completa el componente.</w:t>
            </w:r>
          </w:p>
        </w:tc>
      </w:tr>
      <w:tr>
        <w:trPr>
          <w:cantSplit/>
        </w:trPr>
        <w:tc>
          <w:tcPr>
            <w:tcW w:w="4200" w:type="dxa"/>
            <w:shd w:val="clear" w:color="auto" w:fill="F7FAFD"/>
            <w:vAlign w:val="top"/>
          </w:tcPr>
          <w:p>
            <w:pPr>
              <w:spacing w:before="50" w:after="50" w:line="240" w:lineRule="auto"/>
            </w:pPr>
            <w:r>
              <w:rPr>
                <w:rFonts w:ascii="Calibri" w:hAnsi="Calibri" w:cs="Calibri"/>
                <w:sz w:val="18"/>
                <w:szCs w:val="18"/>
              </w:rPr>
              <w:t xml:space="preserve">74 metas sin presupuesto</w:t>
            </w:r>
          </w:p>
        </w:tc>
        <w:tc>
          <w:tcPr>
            <w:tcW w:w="4638" w:type="dxa"/>
            <w:shd w:val="clear" w:color="auto" w:fill="F7FAFD"/>
            <w:vAlign w:val="top"/>
          </w:tcPr>
          <w:p>
            <w:pPr>
              <w:spacing w:before="50" w:after="50" w:line="240" w:lineRule="auto"/>
            </w:pPr>
            <w:r>
              <w:rPr>
                <w:rFonts w:ascii="Calibri" w:hAnsi="Calibri" w:cs="Calibri"/>
                <w:sz w:val="18"/>
                <w:szCs w:val="18"/>
              </w:rPr>
              <w:t xml:space="preserve">Se cargan sin presupuesto; no evalúan reglas de gasto hasta que se complete.</w:t>
            </w:r>
          </w:p>
        </w:tc>
      </w:tr>
      <w:tr>
        <w:trPr>
          <w:cantSplit/>
        </w:trPr>
        <w:tc>
          <w:tcPr>
            <w:tcW w:w="4200" w:type="dxa"/>
            <w:vAlign w:val="top"/>
          </w:tcPr>
          <w:p>
            <w:pPr>
              <w:spacing w:before="50" w:after="50" w:line="240" w:lineRule="auto"/>
            </w:pPr>
            <w:r>
              <w:rPr>
                <w:rFonts w:ascii="Calibri" w:hAnsi="Calibri" w:cs="Calibri"/>
                <w:sz w:val="18"/>
                <w:szCs w:val="18"/>
              </w:rPr>
              <w:t xml:space="preserve">27 metas con cumplimiento igual o superior al 100 % (algunas hasta 800 %)</w:t>
            </w:r>
          </w:p>
        </w:tc>
        <w:tc>
          <w:tcPr>
            <w:tcW w:w="4638" w:type="dxa"/>
            <w:vAlign w:val="top"/>
          </w:tcPr>
          <w:p>
            <w:pPr>
              <w:spacing w:before="50" w:after="50" w:line="240" w:lineRule="auto"/>
            </w:pPr>
            <w:r>
              <w:rPr>
                <w:rFonts w:ascii="Calibri" w:hAnsi="Calibri" w:cs="Calibri"/>
                <w:sz w:val="18"/>
                <w:szCs w:val="18"/>
              </w:rPr>
              <w:t xml:space="preserve">Se cargan como Cumplidas con su valor real; el área revisa los valores anómalos.</w:t>
            </w:r>
          </w:p>
        </w:tc>
      </w:tr>
      <w:tr>
        <w:trPr>
          <w:cantSplit/>
        </w:trPr>
        <w:tc>
          <w:tcPr>
            <w:tcW w:w="4200" w:type="dxa"/>
            <w:shd w:val="clear" w:color="auto" w:fill="F7FAFD"/>
            <w:vAlign w:val="top"/>
          </w:tcPr>
          <w:p>
            <w:pPr>
              <w:spacing w:before="50" w:after="50" w:line="240" w:lineRule="auto"/>
            </w:pPr>
            <w:r>
              <w:rPr>
                <w:rFonts w:ascii="Calibri" w:hAnsi="Calibri" w:cs="Calibri"/>
                <w:sz w:val="18"/>
                <w:szCs w:val="18"/>
              </w:rPr>
              <w:t xml:space="preserve">Un solo acumulado enero–junio, sin desglose mensual</w:t>
            </w:r>
          </w:p>
        </w:tc>
        <w:tc>
          <w:tcPr>
            <w:tcW w:w="4638" w:type="dxa"/>
            <w:shd w:val="clear" w:color="auto" w:fill="F7FAFD"/>
            <w:vAlign w:val="top"/>
          </w:tcPr>
          <w:p>
            <w:pPr>
              <w:spacing w:before="50" w:after="50" w:line="240" w:lineRule="auto"/>
            </w:pPr>
            <w:r>
              <w:rPr>
                <w:rFonts w:ascii="Calibri" w:hAnsi="Calibri" w:cs="Calibri"/>
                <w:sz w:val="18"/>
                <w:szCs w:val="18"/>
              </w:rPr>
              <w:t xml:space="preserve">Se carga como reporte de junio. Las áreas que tengan el desglose lo entregan en la plantilla mensual; julio y agosto se reportan en el sistema como puesta al día.</w:t>
            </w:r>
          </w:p>
        </w:tc>
      </w:tr>
      <w:tr>
        <w:trPr>
          <w:cantSplit/>
        </w:trPr>
        <w:tc>
          <w:tcPr>
            <w:tcW w:w="4200" w:type="dxa"/>
            <w:vAlign w:val="top"/>
          </w:tcPr>
          <w:p>
            <w:pPr>
              <w:spacing w:before="50" w:after="50" w:line="240" w:lineRule="auto"/>
            </w:pPr>
            <w:r>
              <w:rPr>
                <w:rFonts w:ascii="Calibri" w:hAnsi="Calibri" w:cs="Calibri"/>
                <w:sz w:val="18"/>
                <w:szCs w:val="18"/>
              </w:rPr>
              <w:t xml:space="preserve">Variantes de escritura en población sujeto</w:t>
            </w:r>
          </w:p>
        </w:tc>
        <w:tc>
          <w:tcPr>
            <w:tcW w:w="4638" w:type="dxa"/>
            <w:vAlign w:val="top"/>
          </w:tcPr>
          <w:p>
            <w:pPr>
              <w:spacing w:before="50" w:after="50" w:line="240" w:lineRule="auto"/>
            </w:pPr>
            <w:r>
              <w:rPr>
                <w:rFonts w:ascii="Calibri" w:hAnsi="Calibri" w:cs="Calibri"/>
                <w:sz w:val="18"/>
                <w:szCs w:val="18"/>
              </w:rPr>
              <w:t xml:space="preserve">Se normalizan a un catálogo durante la importación.</w:t>
            </w:r>
          </w:p>
        </w:tc>
      </w:tr>
      <w:tr>
        <w:trPr>
          <w:cantSplit/>
        </w:trPr>
        <w:tc>
          <w:tcPr>
            <w:tcW w:w="4200" w:type="dxa"/>
            <w:shd w:val="clear" w:color="auto" w:fill="F7FAFD"/>
            <w:vAlign w:val="top"/>
          </w:tcPr>
          <w:p>
            <w:pPr>
              <w:spacing w:before="50" w:after="50" w:line="240" w:lineRule="auto"/>
            </w:pPr>
            <w:r>
              <w:rPr>
                <w:rFonts w:ascii="Calibri" w:hAnsi="Calibri" w:cs="Calibri"/>
                <w:sz w:val="18"/>
                <w:szCs w:val="18"/>
              </w:rPr>
              <w:t xml:space="preserve">Fechas oficiales hasta marzo de 2027</w:t>
            </w:r>
          </w:p>
        </w:tc>
        <w:tc>
          <w:tcPr>
            <w:tcW w:w="4638" w:type="dxa"/>
            <w:shd w:val="clear" w:color="auto" w:fill="F7FAFD"/>
            <w:vAlign w:val="top"/>
          </w:tcPr>
          <w:p>
            <w:pPr>
              <w:spacing w:before="50" w:after="50" w:line="240" w:lineRule="auto"/>
            </w:pPr>
            <w:r>
              <w:rPr>
                <w:rFonts w:ascii="Calibri" w:hAnsi="Calibri" w:cs="Calibri"/>
                <w:sz w:val="18"/>
                <w:szCs w:val="18"/>
              </w:rPr>
              <w:t xml:space="preserve">Se conservan como informativas; la fecha de corte del 30 de noviembre gobierna el semáforo.</w:t>
            </w:r>
          </w:p>
        </w:tc>
      </w:tr>
    </w:tbl>
    <w:p>
      <w:pPr>
        <w:spacing w:before="0" w:after="0" w:line="264" w:lineRule="auto"/>
      </w:pPr>
    </w:p>
    <w:p>
      <w:pPr>
        <w:spacing w:after="0"/>
      </w:pPr>
      <w:r>
        <w:br w:type="page"/>
      </w:r>
    </w:p>
    <w:p>
      <w:pPr>
        <w:keepNext/>
        <w:pBdr>
          <w:bottom w:val="single" w:sz="6" w:space="2" w:color="9DC3E6"/>
        </w:pBdr>
        <w:spacing w:before="200" w:after="120"/>
      </w:pPr>
      <w:r>
        <w:rPr>
          <w:rFonts w:ascii="Calibri" w:hAnsi="Calibri"/>
          <w:b/>
          <w:color w:val="1F3864"/>
          <w:sz w:val="26"/>
          <w:szCs w:val="26"/>
        </w:rPr>
        <w:t>8. Lineamientos técnicos</w:t>
      </w:r>
    </w:p>
    <w:tbl>
      <w:tblPr>
        <w:tblW w:w="8838"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CellMar>
          <w:top w:w="60" w:type="dxa"/>
          <w:left w:w="110" w:type="dxa"/>
          <w:bottom w:w="60" w:type="dxa"/>
          <w:right w:w="110" w:type="dxa"/>
        </w:tblCellMar>
      </w:tblPr>
      <w:tblGrid>
        <w:gridCol w:w="2000"/>
        <w:gridCol w:w="6838"/>
      </w:tblGrid>
      <w:tr>
        <w:trPr>
          <w:cantSplit/>
          <w:tblHeader/>
        </w:trPr>
        <w:tc>
          <w:tcPr>
            <w:tcW w:w="2000" w:type="dxa"/>
            <w:shd w:val="clear" w:color="auto" w:fill="1F3864"/>
            <w:vAlign w:val="center"/>
          </w:tcPr>
          <w:p>
            <w:pPr>
              <w:spacing w:before="50" w:after="50" w:line="240" w:lineRule="auto"/>
            </w:pPr>
            <w:r>
              <w:rPr>
                <w:rFonts w:ascii="Calibri" w:hAnsi="Calibri" w:cs="Calibri"/>
                <w:b/>
                <w:color w:val="FFFFFF"/>
                <w:sz w:val="18"/>
                <w:szCs w:val="18"/>
              </w:rPr>
              <w:t xml:space="preserve">Capa</w:t>
            </w:r>
          </w:p>
        </w:tc>
        <w:tc>
          <w:tcPr>
            <w:tcW w:w="6838" w:type="dxa"/>
            <w:shd w:val="clear" w:color="auto" w:fill="1F3864"/>
            <w:vAlign w:val="center"/>
          </w:tcPr>
          <w:p>
            <w:pPr>
              <w:spacing w:before="50" w:after="50" w:line="240" w:lineRule="auto"/>
            </w:pPr>
            <w:r>
              <w:rPr>
                <w:rFonts w:ascii="Calibri" w:hAnsi="Calibri" w:cs="Calibri"/>
                <w:b/>
                <w:color w:val="FFFFFF"/>
                <w:sz w:val="18"/>
                <w:szCs w:val="18"/>
              </w:rPr>
              <w:t xml:space="preserve">Tecnología</w:t>
            </w:r>
          </w:p>
        </w:tc>
      </w:tr>
      <w:tr>
        <w:trPr>
          <w:cantSplit/>
        </w:trPr>
        <w:tc>
          <w:tcPr>
            <w:tcW w:w="2000" w:type="dxa"/>
            <w:shd w:val="clear" w:color="auto" w:fill="F7FAFD"/>
            <w:vAlign w:val="top"/>
          </w:tcPr>
          <w:p>
            <w:pPr>
              <w:spacing w:before="50" w:after="50" w:line="240" w:lineRule="auto"/>
            </w:pPr>
            <w:r>
              <w:rPr>
                <w:rFonts w:ascii="Calibri" w:hAnsi="Calibri" w:cs="Calibri"/>
                <w:sz w:val="18"/>
                <w:szCs w:val="18"/>
              </w:rPr>
              <w:t xml:space="preserve">Frontend</w:t>
            </w:r>
          </w:p>
        </w:tc>
        <w:tc>
          <w:tcPr>
            <w:tcW w:w="6838" w:type="dxa"/>
            <w:shd w:val="clear" w:color="auto" w:fill="F7FAFD"/>
            <w:vAlign w:val="top"/>
          </w:tcPr>
          <w:p>
            <w:pPr>
              <w:spacing w:before="50" w:after="50" w:line="240" w:lineRule="auto"/>
            </w:pPr>
            <w:r>
              <w:rPr>
                <w:rFonts w:ascii="Calibri" w:hAnsi="Calibri" w:cs="Calibri"/>
                <w:sz w:val="18"/>
                <w:szCs w:val="18"/>
              </w:rPr>
              <w:t xml:space="preserve">React 18 + TypeScript + Vite, Tailwind CSS, Recharts. Interfaz en español, responsive, con la identidad visual azul y blanco de la propuesta.</w:t>
            </w:r>
          </w:p>
        </w:tc>
      </w:tr>
      <w:tr>
        <w:trPr>
          <w:cantSplit/>
        </w:trPr>
        <w:tc>
          <w:tcPr>
            <w:tcW w:w="2000" w:type="dxa"/>
            <w:vAlign w:val="top"/>
          </w:tcPr>
          <w:p>
            <w:pPr>
              <w:spacing w:before="50" w:after="50" w:line="240" w:lineRule="auto"/>
            </w:pPr>
            <w:r>
              <w:rPr>
                <w:rFonts w:ascii="Calibri" w:hAnsi="Calibri" w:cs="Calibri"/>
                <w:sz w:val="18"/>
                <w:szCs w:val="18"/>
              </w:rPr>
              <w:t xml:space="preserve">Backend</w:t>
            </w:r>
          </w:p>
        </w:tc>
        <w:tc>
          <w:tcPr>
            <w:tcW w:w="6838" w:type="dxa"/>
            <w:vAlign w:val="top"/>
          </w:tcPr>
          <w:p>
            <w:pPr>
              <w:spacing w:before="50" w:after="50" w:line="240" w:lineRule="auto"/>
            </w:pPr>
            <w:r>
              <w:rPr>
                <w:rFonts w:ascii="Calibri" w:hAnsi="Calibri" w:cs="Calibri"/>
                <w:sz w:val="18"/>
                <w:szCs w:val="18"/>
              </w:rPr>
              <w:t xml:space="preserve">Node.js 20 + NestJS + TypeScript, Prisma como ORM. Todo el código en español.</w:t>
            </w:r>
          </w:p>
        </w:tc>
      </w:tr>
      <w:tr>
        <w:trPr>
          <w:cantSplit/>
        </w:trPr>
        <w:tc>
          <w:tcPr>
            <w:tcW w:w="2000" w:type="dxa"/>
            <w:shd w:val="clear" w:color="auto" w:fill="F7FAFD"/>
            <w:vAlign w:val="top"/>
          </w:tcPr>
          <w:p>
            <w:pPr>
              <w:spacing w:before="50" w:after="50" w:line="240" w:lineRule="auto"/>
            </w:pPr>
            <w:r>
              <w:rPr>
                <w:rFonts w:ascii="Calibri" w:hAnsi="Calibri" w:cs="Calibri"/>
                <w:sz w:val="18"/>
                <w:szCs w:val="18"/>
              </w:rPr>
              <w:t xml:space="preserve">Base de datos</w:t>
            </w:r>
          </w:p>
        </w:tc>
        <w:tc>
          <w:tcPr>
            <w:tcW w:w="6838" w:type="dxa"/>
            <w:shd w:val="clear" w:color="auto" w:fill="F7FAFD"/>
            <w:vAlign w:val="top"/>
          </w:tcPr>
          <w:p>
            <w:pPr>
              <w:spacing w:before="50" w:after="50" w:line="240" w:lineRule="auto"/>
            </w:pPr>
            <w:r>
              <w:rPr>
                <w:rFonts w:ascii="Calibri" w:hAnsi="Calibri" w:cs="Calibri"/>
                <w:sz w:val="18"/>
                <w:szCs w:val="18"/>
              </w:rPr>
              <w:t xml:space="preserve">PostgreSQL 16 en el servidor dedicado.</w:t>
            </w:r>
          </w:p>
        </w:tc>
      </w:tr>
      <w:tr>
        <w:trPr>
          <w:cantSplit/>
        </w:trPr>
        <w:tc>
          <w:tcPr>
            <w:tcW w:w="2000" w:type="dxa"/>
            <w:vAlign w:val="top"/>
          </w:tcPr>
          <w:p>
            <w:pPr>
              <w:spacing w:before="50" w:after="50" w:line="240" w:lineRule="auto"/>
            </w:pPr>
            <w:r>
              <w:rPr>
                <w:rFonts w:ascii="Calibri" w:hAnsi="Calibri" w:cs="Calibri"/>
                <w:sz w:val="18"/>
                <w:szCs w:val="18"/>
              </w:rPr>
              <w:t xml:space="preserve">Servidor y despliegue</w:t>
            </w:r>
          </w:p>
        </w:tc>
        <w:tc>
          <w:tcPr>
            <w:tcW w:w="6838" w:type="dxa"/>
            <w:vAlign w:val="top"/>
          </w:tcPr>
          <w:p>
            <w:pPr>
              <w:spacing w:before="50" w:after="50" w:line="240" w:lineRule="auto"/>
            </w:pPr>
            <w:r>
              <w:rPr>
                <w:rFonts w:ascii="Calibri" w:hAnsi="Calibri" w:cs="Calibri"/>
                <w:sz w:val="18"/>
                <w:szCs w:val="18"/>
              </w:rPr>
              <w:t xml:space="preserve">Windows Server 2019. Instalación nativa: API como servicio de Windows (NSSM), IIS como proxy inverso y servidor de la aplicación web, HTTPS con certificado institucional.</w:t>
            </w:r>
          </w:p>
        </w:tc>
      </w:tr>
      <w:tr>
        <w:trPr>
          <w:cantSplit/>
        </w:trPr>
        <w:tc>
          <w:tcPr>
            <w:tcW w:w="2000" w:type="dxa"/>
            <w:shd w:val="clear" w:color="auto" w:fill="F7FAFD"/>
            <w:vAlign w:val="top"/>
          </w:tcPr>
          <w:p>
            <w:pPr>
              <w:spacing w:before="50" w:after="50" w:line="240" w:lineRule="auto"/>
            </w:pPr>
            <w:r>
              <w:rPr>
                <w:rFonts w:ascii="Calibri" w:hAnsi="Calibri" w:cs="Calibri"/>
                <w:sz w:val="18"/>
                <w:szCs w:val="18"/>
              </w:rPr>
              <w:t xml:space="preserve">Archivos</w:t>
            </w:r>
          </w:p>
        </w:tc>
        <w:tc>
          <w:tcPr>
            <w:tcW w:w="6838" w:type="dxa"/>
            <w:shd w:val="clear" w:color="auto" w:fill="F7FAFD"/>
            <w:vAlign w:val="top"/>
          </w:tcPr>
          <w:p>
            <w:pPr>
              <w:spacing w:before="50" w:after="50" w:line="240" w:lineRule="auto"/>
            </w:pPr>
            <w:r>
              <w:rPr>
                <w:rFonts w:ascii="Calibri" w:hAnsi="Calibri" w:cs="Calibri"/>
                <w:sz w:val="18"/>
                <w:szCs w:val="18"/>
              </w:rPr>
              <w:t xml:space="preserve">Soportes en disco del servidor fuera de la raíz web, límite de 20 MB por archivo. Copias de seguridad diarias de base y soportes.</w:t>
            </w:r>
          </w:p>
        </w:tc>
      </w:tr>
      <w:tr>
        <w:trPr>
          <w:cantSplit/>
        </w:trPr>
        <w:tc>
          <w:tcPr>
            <w:tcW w:w="2000" w:type="dxa"/>
            <w:vAlign w:val="top"/>
          </w:tcPr>
          <w:p>
            <w:pPr>
              <w:spacing w:before="50" w:after="50" w:line="240" w:lineRule="auto"/>
            </w:pPr>
            <w:r>
              <w:rPr>
                <w:rFonts w:ascii="Calibri" w:hAnsi="Calibri" w:cs="Calibri"/>
                <w:sz w:val="18"/>
                <w:szCs w:val="18"/>
              </w:rPr>
              <w:t xml:space="preserve">Seguridad</w:t>
            </w:r>
          </w:p>
        </w:tc>
        <w:tc>
          <w:tcPr>
            <w:tcW w:w="6838" w:type="dxa"/>
            <w:vAlign w:val="top"/>
          </w:tcPr>
          <w:p>
            <w:pPr>
              <w:spacing w:before="50" w:after="50" w:line="240" w:lineRule="auto"/>
            </w:pPr>
            <w:r>
              <w:rPr>
                <w:rFonts w:ascii="Calibri" w:hAnsi="Calibri" w:cs="Calibri"/>
                <w:sz w:val="18"/>
                <w:szCs w:val="18"/>
              </w:rPr>
              <w:t xml:space="preserve">Autenticación con usuario y contraseña (JWT), bloqueo por intentos fallidos, autorización por rol y alcance en el servidor, auditoría inmutable, cumplimiento de la Ley 1581 de 2012.</w:t>
            </w:r>
          </w:p>
        </w:tc>
      </w:tr>
      <w:tr>
        <w:trPr>
          <w:cantSplit/>
        </w:trPr>
        <w:tc>
          <w:tcPr>
            <w:tcW w:w="2000" w:type="dxa"/>
            <w:shd w:val="clear" w:color="auto" w:fill="F7FAFD"/>
            <w:vAlign w:val="top"/>
          </w:tcPr>
          <w:p>
            <w:pPr>
              <w:spacing w:before="50" w:after="50" w:line="240" w:lineRule="auto"/>
            </w:pPr>
            <w:r>
              <w:rPr>
                <w:rFonts w:ascii="Calibri" w:hAnsi="Calibri" w:cs="Calibri"/>
                <w:sz w:val="18"/>
                <w:szCs w:val="18"/>
              </w:rPr>
              <w:t xml:space="preserve">Correo</w:t>
            </w:r>
          </w:p>
        </w:tc>
        <w:tc>
          <w:tcPr>
            <w:tcW w:w="6838" w:type="dxa"/>
            <w:shd w:val="clear" w:color="auto" w:fill="F7FAFD"/>
            <w:vAlign w:val="top"/>
          </w:tcPr>
          <w:p>
            <w:pPr>
              <w:spacing w:before="50" w:after="50" w:line="240" w:lineRule="auto"/>
            </w:pPr>
            <w:r>
              <w:rPr>
                <w:rFonts w:ascii="Calibri" w:hAnsi="Calibri" w:cs="Calibri"/>
                <w:sz w:val="18"/>
                <w:szCs w:val="18"/>
              </w:rPr>
              <w:t xml:space="preserve">Servicio institucional @magdalena.gov.co, activable por parámetro; desactivado por defecto.</w:t>
            </w:r>
          </w:p>
        </w:tc>
      </w:tr>
    </w:tbl>
    <w:p>
      <w:pPr>
        <w:spacing w:before="0" w:after="0" w:line="264" w:lineRule="auto"/>
      </w:pPr>
    </w:p>
    <w:p>
      <w:pPr>
        <w:spacing w:after="0"/>
      </w:pPr>
      <w:r>
        <w:br w:type="page"/>
      </w:r>
    </w:p>
    <w:p>
      <w:pPr>
        <w:keepNext/>
        <w:pBdr>
          <w:bottom w:val="single" w:sz="6" w:space="2" w:color="9DC3E6"/>
        </w:pBdr>
        <w:spacing w:before="200" w:after="120"/>
      </w:pPr>
      <w:r>
        <w:rPr>
          <w:rFonts w:ascii="Calibri" w:hAnsi="Calibri"/>
          <w:b/>
          <w:color w:val="1F3864"/>
          <w:sz w:val="26"/>
          <w:szCs w:val="26"/>
        </w:rPr>
        <w:t>9. Plan de trabajo (siete días)</w:t>
      </w:r>
    </w:p>
    <w:tbl>
      <w:tblPr>
        <w:tblW w:w="8838"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CellMar>
          <w:top w:w="60" w:type="dxa"/>
          <w:left w:w="110" w:type="dxa"/>
          <w:bottom w:w="60" w:type="dxa"/>
          <w:right w:w="110" w:type="dxa"/>
        </w:tblCellMar>
      </w:tblPr>
      <w:tblGrid>
        <w:gridCol w:w="800"/>
        <w:gridCol w:w="4400"/>
        <w:gridCol w:w="3638"/>
      </w:tblGrid>
      <w:tr>
        <w:trPr>
          <w:cantSplit/>
          <w:tblHeader/>
        </w:trPr>
        <w:tc>
          <w:tcPr>
            <w:tcW w:w="800" w:type="dxa"/>
            <w:shd w:val="clear" w:color="auto" w:fill="1F3864"/>
            <w:vAlign w:val="center"/>
          </w:tcPr>
          <w:p>
            <w:pPr>
              <w:spacing w:before="50" w:after="50" w:line="240" w:lineRule="auto"/>
            </w:pPr>
            <w:r>
              <w:rPr>
                <w:rFonts w:ascii="Calibri" w:hAnsi="Calibri" w:cs="Calibri"/>
                <w:b/>
                <w:color w:val="FFFFFF"/>
                <w:sz w:val="18"/>
                <w:szCs w:val="18"/>
              </w:rPr>
              <w:t xml:space="preserve">Día</w:t>
            </w:r>
          </w:p>
        </w:tc>
        <w:tc>
          <w:tcPr>
            <w:tcW w:w="4400" w:type="dxa"/>
            <w:shd w:val="clear" w:color="auto" w:fill="1F3864"/>
            <w:vAlign w:val="center"/>
          </w:tcPr>
          <w:p>
            <w:pPr>
              <w:spacing w:before="50" w:after="50" w:line="240" w:lineRule="auto"/>
            </w:pPr>
            <w:r>
              <w:rPr>
                <w:rFonts w:ascii="Calibri" w:hAnsi="Calibri" w:cs="Calibri"/>
                <w:b/>
                <w:color w:val="FFFFFF"/>
                <w:sz w:val="18"/>
                <w:szCs w:val="18"/>
              </w:rPr>
              <w:t xml:space="preserve">Construcción</w:t>
            </w:r>
          </w:p>
        </w:tc>
        <w:tc>
          <w:tcPr>
            <w:tcW w:w="3638" w:type="dxa"/>
            <w:shd w:val="clear" w:color="auto" w:fill="1F3864"/>
            <w:vAlign w:val="center"/>
          </w:tcPr>
          <w:p>
            <w:pPr>
              <w:spacing w:before="50" w:after="50" w:line="240" w:lineRule="auto"/>
            </w:pPr>
            <w:r>
              <w:rPr>
                <w:rFonts w:ascii="Calibri" w:hAnsi="Calibri" w:cs="Calibri"/>
                <w:b/>
                <w:color w:val="FFFFFF"/>
                <w:sz w:val="18"/>
                <w:szCs w:val="18"/>
              </w:rPr>
              <w:t xml:space="preserve">Trabajo del cliente en paralelo</w:t>
            </w:r>
          </w:p>
        </w:tc>
      </w:tr>
      <w:tr>
        <w:trPr>
          <w:cantSplit/>
        </w:trPr>
        <w:tc>
          <w:tcPr>
            <w:tcW w:w="800" w:type="dxa"/>
            <w:shd w:val="clear" w:color="auto" w:fill="F7FAFD"/>
            <w:vAlign w:val="top"/>
          </w:tcPr>
          <w:p>
            <w:pPr>
              <w:spacing w:before="50" w:after="50" w:line="240" w:lineRule="auto"/>
            </w:pPr>
            <w:r>
              <w:rPr>
                <w:rFonts w:ascii="Calibri" w:hAnsi="Calibri" w:cs="Calibri"/>
                <w:sz w:val="18"/>
                <w:szCs w:val="18"/>
              </w:rPr>
              <w:t xml:space="preserve">1</w:t>
            </w:r>
          </w:p>
        </w:tc>
        <w:tc>
          <w:tcPr>
            <w:tcW w:w="4400" w:type="dxa"/>
            <w:shd w:val="clear" w:color="auto" w:fill="F7FAFD"/>
            <w:vAlign w:val="top"/>
          </w:tcPr>
          <w:p>
            <w:pPr>
              <w:spacing w:before="50" w:after="50" w:line="240" w:lineRule="auto"/>
            </w:pPr>
            <w:r>
              <w:rPr>
                <w:rFonts w:ascii="Calibri" w:hAnsi="Calibri" w:cs="Calibri"/>
                <w:sz w:val="18"/>
                <w:szCs w:val="18"/>
              </w:rPr>
              <w:t xml:space="preserve">Base de datos, autenticación, estructura, usuarios, parámetros</w:t>
            </w:r>
          </w:p>
        </w:tc>
        <w:tc>
          <w:tcPr>
            <w:tcW w:w="3638" w:type="dxa"/>
            <w:shd w:val="clear" w:color="auto" w:fill="F7FAFD"/>
            <w:vAlign w:val="top"/>
          </w:tcPr>
          <w:p>
            <w:pPr>
              <w:spacing w:before="50" w:after="50" w:line="240" w:lineRule="auto"/>
            </w:pPr>
            <w:r>
              <w:rPr>
                <w:rFonts w:ascii="Calibri" w:hAnsi="Calibri" w:cs="Calibri"/>
                <w:sz w:val="18"/>
                <w:szCs w:val="18"/>
              </w:rPr>
              <w:t xml:space="preserve">Entregar plantilla de usuarios con correos y roles</w:t>
            </w:r>
          </w:p>
        </w:tc>
      </w:tr>
      <w:tr>
        <w:trPr>
          <w:cantSplit/>
        </w:trPr>
        <w:tc>
          <w:tcPr>
            <w:tcW w:w="800" w:type="dxa"/>
            <w:vAlign w:val="top"/>
          </w:tcPr>
          <w:p>
            <w:pPr>
              <w:spacing w:before="50" w:after="50" w:line="240" w:lineRule="auto"/>
            </w:pPr>
            <w:r>
              <w:rPr>
                <w:rFonts w:ascii="Calibri" w:hAnsi="Calibri" w:cs="Calibri"/>
                <w:sz w:val="18"/>
                <w:szCs w:val="18"/>
              </w:rPr>
              <w:t xml:space="preserve">2</w:t>
            </w:r>
          </w:p>
        </w:tc>
        <w:tc>
          <w:tcPr>
            <w:tcW w:w="4400" w:type="dxa"/>
            <w:vAlign w:val="top"/>
          </w:tcPr>
          <w:p>
            <w:pPr>
              <w:spacing w:before="50" w:after="50" w:line="240" w:lineRule="auto"/>
            </w:pPr>
            <w:r>
              <w:rPr>
                <w:rFonts w:ascii="Calibri" w:hAnsi="Calibri" w:cs="Calibri"/>
                <w:sz w:val="18"/>
                <w:szCs w:val="18"/>
              </w:rPr>
              <w:t xml:space="preserve">Metas, programación, cálculos e importador; carga de las 276 metas reales</w:t>
            </w:r>
          </w:p>
        </w:tc>
        <w:tc>
          <w:tcPr>
            <w:tcW w:w="3638" w:type="dxa"/>
            <w:vAlign w:val="top"/>
          </w:tcPr>
          <w:p>
            <w:pPr>
              <w:spacing w:before="50" w:after="50" w:line="240" w:lineRule="auto"/>
            </w:pPr>
            <w:r>
              <w:rPr>
                <w:rFonts w:ascii="Calibri" w:hAnsi="Calibri" w:cs="Calibri"/>
                <w:sz w:val="18"/>
                <w:szCs w:val="18"/>
              </w:rPr>
              <w:t xml:space="preserve">Iniciar asignación de responsables y componentes</w:t>
            </w:r>
          </w:p>
        </w:tc>
      </w:tr>
      <w:tr>
        <w:trPr>
          <w:cantSplit/>
        </w:trPr>
        <w:tc>
          <w:tcPr>
            <w:tcW w:w="800" w:type="dxa"/>
            <w:shd w:val="clear" w:color="auto" w:fill="F7FAFD"/>
            <w:vAlign w:val="top"/>
          </w:tcPr>
          <w:p>
            <w:pPr>
              <w:spacing w:before="50" w:after="50" w:line="240" w:lineRule="auto"/>
            </w:pPr>
            <w:r>
              <w:rPr>
                <w:rFonts w:ascii="Calibri" w:hAnsi="Calibri" w:cs="Calibri"/>
                <w:sz w:val="18"/>
                <w:szCs w:val="18"/>
              </w:rPr>
              <w:t xml:space="preserve">3</w:t>
            </w:r>
          </w:p>
        </w:tc>
        <w:tc>
          <w:tcPr>
            <w:tcW w:w="4400" w:type="dxa"/>
            <w:shd w:val="clear" w:color="auto" w:fill="F7FAFD"/>
            <w:vAlign w:val="top"/>
          </w:tcPr>
          <w:p>
            <w:pPr>
              <w:spacing w:before="50" w:after="50" w:line="240" w:lineRule="auto"/>
            </w:pPr>
            <w:r>
              <w:rPr>
                <w:rFonts w:ascii="Calibri" w:hAnsi="Calibri" w:cs="Calibri"/>
                <w:sz w:val="18"/>
                <w:szCs w:val="18"/>
              </w:rPr>
              <w:t xml:space="preserve">Reporte mensual, correcciones, notificaciones en la aplicación</w:t>
            </w:r>
          </w:p>
        </w:tc>
        <w:tc>
          <w:tcPr>
            <w:tcW w:w="3638" w:type="dxa"/>
            <w:shd w:val="clear" w:color="auto" w:fill="F7FAFD"/>
            <w:vAlign w:val="top"/>
          </w:tcPr>
          <w:p>
            <w:pPr>
              <w:spacing w:before="50" w:after="50" w:line="240" w:lineRule="auto"/>
            </w:pPr>
            <w:r>
              <w:rPr>
                <w:rFonts w:ascii="Calibri" w:hAnsi="Calibri" w:cs="Calibri"/>
                <w:sz w:val="18"/>
                <w:szCs w:val="18"/>
              </w:rPr>
              <w:t xml:space="preserve">Revisar las 27 metas con cumplimiento ≥ 100 %</w:t>
            </w:r>
          </w:p>
        </w:tc>
      </w:tr>
      <w:tr>
        <w:trPr>
          <w:cantSplit/>
        </w:trPr>
        <w:tc>
          <w:tcPr>
            <w:tcW w:w="800" w:type="dxa"/>
            <w:vAlign w:val="top"/>
          </w:tcPr>
          <w:p>
            <w:pPr>
              <w:spacing w:before="50" w:after="50" w:line="240" w:lineRule="auto"/>
            </w:pPr>
            <w:r>
              <w:rPr>
                <w:rFonts w:ascii="Calibri" w:hAnsi="Calibri" w:cs="Calibri"/>
                <w:sz w:val="18"/>
                <w:szCs w:val="18"/>
              </w:rPr>
              <w:t xml:space="preserve">4</w:t>
            </w:r>
          </w:p>
        </w:tc>
        <w:tc>
          <w:tcPr>
            <w:tcW w:w="4400" w:type="dxa"/>
            <w:vAlign w:val="top"/>
          </w:tcPr>
          <w:p>
            <w:pPr>
              <w:spacing w:before="50" w:after="50" w:line="240" w:lineRule="auto"/>
            </w:pPr>
            <w:r>
              <w:rPr>
                <w:rFonts w:ascii="Calibri" w:hAnsi="Calibri" w:cs="Calibri"/>
                <w:sz w:val="18"/>
                <w:szCs w:val="18"/>
              </w:rPr>
              <w:t xml:space="preserve">Tareas, soportes, calendario, cruces y agenda del Despacho</w:t>
            </w:r>
          </w:p>
        </w:tc>
        <w:tc>
          <w:tcPr>
            <w:tcW w:w="3638" w:type="dxa"/>
            <w:vAlign w:val="top"/>
          </w:tcPr>
          <w:p>
            <w:pPr>
              <w:spacing w:before="50" w:after="50" w:line="240" w:lineRule="auto"/>
            </w:pPr>
            <w:r>
              <w:rPr>
                <w:rFonts w:ascii="Calibri" w:hAnsi="Calibri" w:cs="Calibri"/>
                <w:sz w:val="18"/>
                <w:szCs w:val="18"/>
              </w:rPr>
              <w:t xml:space="preserve">Definir catálogo de recursos; cargar primeras tareas de septiembre</w:t>
            </w:r>
          </w:p>
        </w:tc>
      </w:tr>
      <w:tr>
        <w:trPr>
          <w:cantSplit/>
        </w:trPr>
        <w:tc>
          <w:tcPr>
            <w:tcW w:w="800" w:type="dxa"/>
            <w:shd w:val="clear" w:color="auto" w:fill="F7FAFD"/>
            <w:vAlign w:val="top"/>
          </w:tcPr>
          <w:p>
            <w:pPr>
              <w:spacing w:before="50" w:after="50" w:line="240" w:lineRule="auto"/>
            </w:pPr>
            <w:r>
              <w:rPr>
                <w:rFonts w:ascii="Calibri" w:hAnsi="Calibri" w:cs="Calibri"/>
                <w:sz w:val="18"/>
                <w:szCs w:val="18"/>
              </w:rPr>
              <w:t xml:space="preserve">5</w:t>
            </w:r>
          </w:p>
        </w:tc>
        <w:tc>
          <w:tcPr>
            <w:tcW w:w="4400" w:type="dxa"/>
            <w:shd w:val="clear" w:color="auto" w:fill="F7FAFD"/>
            <w:vAlign w:val="top"/>
          </w:tcPr>
          <w:p>
            <w:pPr>
              <w:spacing w:before="50" w:after="50" w:line="240" w:lineRule="auto"/>
            </w:pPr>
            <w:r>
              <w:rPr>
                <w:rFonts w:ascii="Calibri" w:hAnsi="Calibri" w:cs="Calibri"/>
                <w:sz w:val="18"/>
                <w:szCs w:val="18"/>
              </w:rPr>
              <w:t xml:space="preserve">Tablero de control, observaciones, exportaciones</w:t>
            </w:r>
          </w:p>
        </w:tc>
        <w:tc>
          <w:tcPr>
            <w:tcW w:w="3638" w:type="dxa"/>
            <w:shd w:val="clear" w:color="auto" w:fill="F7FAFD"/>
            <w:vAlign w:val="top"/>
          </w:tcPr>
          <w:p>
            <w:pPr>
              <w:spacing w:before="50" w:after="50" w:line="240" w:lineRule="auto"/>
            </w:pPr>
            <w:r>
              <w:rPr>
                <w:rFonts w:ascii="Calibri" w:hAnsi="Calibri" w:cs="Calibri"/>
                <w:sz w:val="18"/>
                <w:szCs w:val="18"/>
              </w:rPr>
              <w:t xml:space="preserve">Validar el tablero con dos áreas piloto</w:t>
            </w:r>
          </w:p>
        </w:tc>
      </w:tr>
      <w:tr>
        <w:trPr>
          <w:cantSplit/>
        </w:trPr>
        <w:tc>
          <w:tcPr>
            <w:tcW w:w="800" w:type="dxa"/>
            <w:vAlign w:val="top"/>
          </w:tcPr>
          <w:p>
            <w:pPr>
              <w:spacing w:before="50" w:after="50" w:line="240" w:lineRule="auto"/>
            </w:pPr>
            <w:r>
              <w:rPr>
                <w:rFonts w:ascii="Calibri" w:hAnsi="Calibri" w:cs="Calibri"/>
                <w:sz w:val="18"/>
                <w:szCs w:val="18"/>
              </w:rPr>
              <w:t xml:space="preserve">6</w:t>
            </w:r>
          </w:p>
        </w:tc>
        <w:tc>
          <w:tcPr>
            <w:tcW w:w="4400" w:type="dxa"/>
            <w:vAlign w:val="top"/>
          </w:tcPr>
          <w:p>
            <w:pPr>
              <w:spacing w:before="50" w:after="50" w:line="240" w:lineRule="auto"/>
            </w:pPr>
            <w:r>
              <w:rPr>
                <w:rFonts w:ascii="Calibri" w:hAnsi="Calibri" w:cs="Calibri"/>
                <w:sz w:val="18"/>
                <w:szCs w:val="18"/>
              </w:rPr>
              <w:t xml:space="preserve">Correo parametrizable, herramientas de datos, auditoría, pruebas</w:t>
            </w:r>
          </w:p>
        </w:tc>
        <w:tc>
          <w:tcPr>
            <w:tcW w:w="3638" w:type="dxa"/>
            <w:vAlign w:val="top"/>
          </w:tcPr>
          <w:p>
            <w:pPr>
              <w:spacing w:before="50" w:after="50" w:line="240" w:lineRule="auto"/>
            </w:pPr>
            <w:r>
              <w:rPr>
                <w:rFonts w:ascii="Calibri" w:hAnsi="Calibri" w:cs="Calibri"/>
                <w:sz w:val="18"/>
                <w:szCs w:val="18"/>
              </w:rPr>
              <w:t xml:space="preserve">Confirmar certificado HTTPS y nombre público</w:t>
            </w:r>
          </w:p>
        </w:tc>
      </w:tr>
      <w:tr>
        <w:trPr>
          <w:cantSplit/>
        </w:trPr>
        <w:tc>
          <w:tcPr>
            <w:tcW w:w="800" w:type="dxa"/>
            <w:shd w:val="clear" w:color="auto" w:fill="F7FAFD"/>
            <w:vAlign w:val="top"/>
          </w:tcPr>
          <w:p>
            <w:pPr>
              <w:spacing w:before="50" w:after="50" w:line="240" w:lineRule="auto"/>
            </w:pPr>
            <w:r>
              <w:rPr>
                <w:rFonts w:ascii="Calibri" w:hAnsi="Calibri" w:cs="Calibri"/>
                <w:sz w:val="18"/>
                <w:szCs w:val="18"/>
              </w:rPr>
              <w:t xml:space="preserve">7</w:t>
            </w:r>
          </w:p>
        </w:tc>
        <w:tc>
          <w:tcPr>
            <w:tcW w:w="4400" w:type="dxa"/>
            <w:shd w:val="clear" w:color="auto" w:fill="F7FAFD"/>
            <w:vAlign w:val="top"/>
          </w:tcPr>
          <w:p>
            <w:pPr>
              <w:spacing w:before="50" w:after="50" w:line="240" w:lineRule="auto"/>
            </w:pPr>
            <w:r>
              <w:rPr>
                <w:rFonts w:ascii="Calibri" w:hAnsi="Calibri" w:cs="Calibri"/>
                <w:sz w:val="18"/>
                <w:szCs w:val="18"/>
              </w:rPr>
              <w:t xml:space="preserve">Despliegue en el servidor y demostración al Despacho con el plan real</w:t>
            </w:r>
          </w:p>
        </w:tc>
        <w:tc>
          <w:tcPr>
            <w:tcW w:w="3638" w:type="dxa"/>
            <w:shd w:val="clear" w:color="auto" w:fill="F7FAFD"/>
            <w:vAlign w:val="top"/>
          </w:tcPr>
          <w:p>
            <w:pPr>
              <w:spacing w:before="50" w:after="50" w:line="240" w:lineRule="auto"/>
            </w:pPr>
            <w:r>
              <w:rPr>
                <w:rFonts w:ascii="Calibri" w:hAnsi="Calibri" w:cs="Calibri"/>
                <w:sz w:val="18"/>
                <w:szCs w:val="18"/>
              </w:rPr>
              <w:t xml:space="preserve">Sesión de socialización</w:t>
            </w:r>
          </w:p>
        </w:tc>
      </w:tr>
    </w:tbl>
    <w:p>
      <w:pPr>
        <w:spacing w:before="0" w:after="0" w:line="264" w:lineRule="auto"/>
      </w:pPr>
    </w:p>
    <w:tbl>
      <w:tblPr>
        <w:tblW w:w="8838" w:type="dxa"/>
        <w:tblBorders>
          <w:top w:val="single" w:sz="4" w:space="0" w:color="9DC3E6"/>
          <w:left w:val="single" w:sz="18" w:space="0" w:color="2E74B5"/>
          <w:bottom w:val="single" w:sz="4" w:space="0" w:color="9DC3E6"/>
          <w:right w:val="single" w:sz="4" w:space="0" w:color="9DC3E6"/>
        </w:tblBorders>
        <w:tblCellMar>
          <w:top w:w="120" w:type="dxa"/>
          <w:left w:w="180" w:type="dxa"/>
          <w:bottom w:w="120" w:type="dxa"/>
          <w:right w:w="180" w:type="dxa"/>
        </w:tblCellMar>
      </w:tblPr>
      <w:tblGrid>
        <w:gridCol w:w="8838"/>
      </w:tblGrid>
      <w:tr>
        <w:trPr>
          <w:cantSplit/>
        </w:trPr>
        <w:tc>
          <w:tcPr>
            <w:tcW w:w="8838" w:type="dxa"/>
            <w:shd w:val="clear" w:color="auto" w:fill="F2F7FB"/>
          </w:tcPr>
          <w:p>
            <w:pPr>
              <w:jc w:val="both"/>
            </w:pPr>
            <w:r>
              <w:rPr>
                <w:rFonts w:ascii="Calibri" w:hAnsi="Calibri" w:cs="Calibri"/>
                <w:sz w:val="21"/>
                <w:szCs w:val="21"/>
              </w:rPr>
              <w:t xml:space="preserve">La demostración del día 7 se hace con las 276 metas reales cargadas y con los reportes históricos. Un tablero con datos ficticios no genera confianza ni permite decidir desde el primer día.</w:t>
            </w:r>
          </w:p>
        </w:tc>
      </w:tr>
    </w:tbl>
    <w:p>
      <w:pPr>
        <w:spacing w:before="0" w:after="0" w:line="264" w:lineRule="auto"/>
      </w:pPr>
    </w:p>
    <w:p>
      <w:pPr>
        <w:keepNext/>
        <w:pBdr>
          <w:bottom w:val="single" w:sz="6" w:space="2" w:color="9DC3E6"/>
        </w:pBdr>
        <w:spacing w:before="200" w:after="120"/>
      </w:pPr>
      <w:r>
        <w:rPr>
          <w:rFonts w:ascii="Calibri" w:hAnsi="Calibri"/>
          <w:b/>
          <w:color w:val="1F3864"/>
          <w:sz w:val="26"/>
          <w:szCs w:val="26"/>
        </w:rPr>
        <w:t>10. Lo que no contempla el MVP</w:t>
      </w:r>
    </w:p>
    <w:p>
      <w:pPr>
        <w:numPr>
          <w:ilvl w:val="0"/>
          <w:numId w:val="11"/>
        </w:numPr>
        <w:spacing w:after="60" w:line="252" w:lineRule="auto"/>
        <w:ind w:left="714" w:hanging="357"/>
        <w:jc w:val="both"/>
      </w:pPr>
      <w:r>
        <w:rPr>
          <w:rFonts w:ascii="Calibri" w:hAnsi="Calibri" w:cs="Calibri"/>
          <w:sz w:val="22"/>
          <w:szCs w:val="22"/>
        </w:rPr>
        <w:t xml:space="preserve">Inicio de sesión con el directorio institucional (SSO); se deja preparado para fase 2.</w:t>
      </w:r>
    </w:p>
    <w:p>
      <w:pPr>
        <w:numPr>
          <w:ilvl w:val="0"/>
          <w:numId w:val="11"/>
        </w:numPr>
        <w:spacing w:after="60" w:line="252" w:lineRule="auto"/>
        <w:ind w:left="714" w:hanging="357"/>
        <w:jc w:val="both"/>
      </w:pPr>
      <w:r>
        <w:rPr>
          <w:rFonts w:ascii="Calibri" w:hAnsi="Calibri" w:cs="Calibri"/>
          <w:sz w:val="22"/>
          <w:szCs w:val="22"/>
        </w:rPr>
        <w:t xml:space="preserve">Sincronización con calendarios externos (Outlook, Google) y recurrencia de tareas.</w:t>
      </w:r>
    </w:p>
    <w:p>
      <w:pPr>
        <w:numPr>
          <w:ilvl w:val="0"/>
          <w:numId w:val="11"/>
        </w:numPr>
        <w:spacing w:after="60" w:line="252" w:lineRule="auto"/>
        <w:ind w:left="714" w:hanging="357"/>
        <w:jc w:val="both"/>
      </w:pPr>
      <w:r>
        <w:rPr>
          <w:rFonts w:ascii="Calibri" w:hAnsi="Calibri" w:cs="Calibri"/>
          <w:sz w:val="22"/>
          <w:szCs w:val="22"/>
        </w:rPr>
        <w:t xml:space="preserve">Integración con sistemas financieros o presupuestales; el costo ejecutado se registra en el reporte mensual.</w:t>
      </w:r>
    </w:p>
    <w:p>
      <w:pPr>
        <w:numPr>
          <w:ilvl w:val="0"/>
          <w:numId w:val="11"/>
        </w:numPr>
        <w:spacing w:after="60" w:line="252" w:lineRule="auto"/>
        <w:ind w:left="714" w:hanging="357"/>
        <w:jc w:val="both"/>
      </w:pPr>
      <w:r>
        <w:rPr>
          <w:rFonts w:ascii="Calibri" w:hAnsi="Calibri" w:cs="Calibri"/>
          <w:sz w:val="22"/>
          <w:szCs w:val="22"/>
        </w:rPr>
        <w:t xml:space="preserve">Flujos de aprobación de varios niveles y firma electrónica.</w:t>
      </w:r>
    </w:p>
    <w:p>
      <w:pPr>
        <w:numPr>
          <w:ilvl w:val="0"/>
          <w:numId w:val="11"/>
        </w:numPr>
        <w:spacing w:after="60" w:line="252" w:lineRule="auto"/>
        <w:ind w:left="714" w:hanging="357"/>
        <w:jc w:val="both"/>
      </w:pPr>
      <w:r>
        <w:rPr>
          <w:rFonts w:ascii="Calibri" w:hAnsi="Calibri" w:cs="Calibri"/>
          <w:sz w:val="22"/>
          <w:szCs w:val="22"/>
        </w:rPr>
        <w:t xml:space="preserve">Ponderación de metas por presupuesto en el avance global.</w:t>
      </w:r>
    </w:p>
    <w:p>
      <w:pPr>
        <w:numPr>
          <w:ilvl w:val="0"/>
          <w:numId w:val="11"/>
        </w:numPr>
        <w:spacing w:after="60" w:line="252" w:lineRule="auto"/>
        <w:ind w:left="714" w:hanging="357"/>
        <w:jc w:val="both"/>
      </w:pPr>
      <w:r>
        <w:rPr>
          <w:rFonts w:ascii="Calibri" w:hAnsi="Calibri" w:cs="Calibri"/>
          <w:sz w:val="22"/>
          <w:szCs w:val="22"/>
        </w:rPr>
        <w:t xml:space="preserve">Aplicación móvil nativa; el acceso móvil es por navegador.</w:t>
      </w:r>
    </w:p>
    <w:p>
      <w:pPr>
        <w:keepNext/>
        <w:pBdr>
          <w:bottom w:val="single" w:sz="6" w:space="2" w:color="9DC3E6"/>
        </w:pBdr>
        <w:spacing w:before="200" w:after="120"/>
      </w:pPr>
      <w:r>
        <w:rPr>
          <w:rFonts w:ascii="Calibri" w:hAnsi="Calibri"/>
          <w:b/>
          <w:color w:val="1F3864"/>
          <w:sz w:val="26"/>
          <w:szCs w:val="26"/>
        </w:rPr>
        <w:t>11. Criterios de aceptación</w:t>
      </w:r>
    </w:p>
    <w:p>
      <w:pPr>
        <w:numPr>
          <w:ilvl w:val="0"/>
          <w:numId w:val="11"/>
        </w:numPr>
        <w:spacing w:after="60" w:line="252" w:lineRule="auto"/>
        <w:ind w:left="714" w:hanging="357"/>
        <w:jc w:val="both"/>
      </w:pPr>
      <w:r>
        <w:rPr>
          <w:rFonts w:ascii="Calibri" w:hAnsi="Calibri" w:cs="Calibri"/>
          <w:sz w:val="22"/>
          <w:szCs w:val="22"/>
        </w:rPr>
        <w:t xml:space="preserve">El Excel del PAS se importa completo (276 metas) con su informe de advertencias, y las metas aparecen en el tablero con programación, semáforo y reporte histórico.</w:t>
      </w:r>
    </w:p>
    <w:p>
      <w:pPr>
        <w:numPr>
          <w:ilvl w:val="0"/>
          <w:numId w:val="11"/>
        </w:numPr>
        <w:spacing w:after="60" w:line="252" w:lineRule="auto"/>
        <w:ind w:left="714" w:hanging="357"/>
        <w:jc w:val="both"/>
      </w:pPr>
      <w:r>
        <w:rPr>
          <w:rFonts w:ascii="Calibri" w:hAnsi="Calibri" w:cs="Calibri"/>
          <w:sz w:val="22"/>
          <w:szCs w:val="22"/>
        </w:rPr>
        <w:t xml:space="preserve">Un responsable registra el reporte mensual de una meta y el acumulado, el avance y el semáforo cambian de inmediato; al alcanzar el valor meta, la meta queda Cumplida y el Despacho es notificado.</w:t>
      </w:r>
    </w:p>
    <w:p>
      <w:pPr>
        <w:numPr>
          <w:ilvl w:val="0"/>
          <w:numId w:val="11"/>
        </w:numPr>
        <w:spacing w:after="60" w:line="252" w:lineRule="auto"/>
        <w:ind w:left="714" w:hanging="357"/>
        <w:jc w:val="both"/>
      </w:pPr>
      <w:r>
        <w:rPr>
          <w:rFonts w:ascii="Calibri" w:hAnsi="Calibri" w:cs="Calibri"/>
          <w:sz w:val="22"/>
          <w:szCs w:val="22"/>
        </w:rPr>
        <w:t xml:space="preserve">El líder de área corrige un reporte de un mes anterior con justificación y la auditoría registra los valores anterior y nuevo.</w:t>
      </w:r>
    </w:p>
    <w:p>
      <w:pPr>
        <w:numPr>
          <w:ilvl w:val="0"/>
          <w:numId w:val="11"/>
        </w:numPr>
        <w:spacing w:after="60" w:line="252" w:lineRule="auto"/>
        <w:ind w:left="714" w:hanging="357"/>
        <w:jc w:val="both"/>
      </w:pPr>
      <w:r>
        <w:rPr>
          <w:rFonts w:ascii="Calibri" w:hAnsi="Calibri" w:cs="Calibri"/>
          <w:sz w:val="22"/>
          <w:szCs w:val="22"/>
        </w:rPr>
        <w:t xml:space="preserve">Una tarea se cierra solo con soporte; el líder la reabre dentro de cinco días y el responsable recibe el comentario.</w:t>
      </w:r>
    </w:p>
    <w:p>
      <w:pPr>
        <w:numPr>
          <w:ilvl w:val="0"/>
          <w:numId w:val="11"/>
        </w:numPr>
        <w:spacing w:after="60" w:line="252" w:lineRule="auto"/>
        <w:ind w:left="714" w:hanging="357"/>
        <w:jc w:val="both"/>
      </w:pPr>
      <w:r>
        <w:rPr>
          <w:rFonts w:ascii="Calibri" w:hAnsi="Calibri" w:cs="Calibri"/>
          <w:sz w:val="22"/>
          <w:szCs w:val="22"/>
        </w:rPr>
        <w:t xml:space="preserve">Al crear una tarea con hora en una franja ocupada, el sistema muestra el cruce y solo guarda tras la confirmación.</w:t>
      </w:r>
    </w:p>
    <w:p>
      <w:pPr>
        <w:numPr>
          <w:ilvl w:val="0"/>
          <w:numId w:val="11"/>
        </w:numPr>
        <w:spacing w:after="60" w:line="252" w:lineRule="auto"/>
        <w:ind w:left="714" w:hanging="357"/>
        <w:jc w:val="both"/>
      </w:pPr>
      <w:r>
        <w:rPr>
          <w:rFonts w:ascii="Calibri" w:hAnsi="Calibri" w:cs="Calibri"/>
          <w:sz w:val="22"/>
          <w:szCs w:val="22"/>
        </w:rPr>
        <w:t xml:space="preserve">Una tarea con presencia de la Secretaria llega a su agenda, el asistente la confirma y la acción queda registrada a nombre del asistente.</w:t>
      </w:r>
    </w:p>
    <w:p>
      <w:pPr>
        <w:numPr>
          <w:ilvl w:val="0"/>
          <w:numId w:val="11"/>
        </w:numPr>
        <w:spacing w:after="60" w:line="252" w:lineRule="auto"/>
        <w:ind w:left="714" w:hanging="357"/>
        <w:jc w:val="both"/>
      </w:pPr>
      <w:r>
        <w:rPr>
          <w:rFonts w:ascii="Calibri" w:hAnsi="Calibri" w:cs="Calibri"/>
          <w:sz w:val="22"/>
          <w:szCs w:val="22"/>
        </w:rPr>
        <w:t xml:space="preserve">Con el correo desactivado, ninguna notificación genera envío; al activarlo para un tipo, solo ese tipo llega por correo.</w:t>
      </w:r>
    </w:p>
    <w:p>
      <w:pPr>
        <w:numPr>
          <w:ilvl w:val="0"/>
          <w:numId w:val="11"/>
        </w:numPr>
        <w:spacing w:after="60" w:line="252" w:lineRule="auto"/>
        <w:ind w:left="714" w:hanging="357"/>
        <w:jc w:val="both"/>
      </w:pPr>
      <w:r>
        <w:rPr>
          <w:rFonts w:ascii="Calibri" w:hAnsi="Calibri" w:cs="Calibri"/>
          <w:sz w:val="22"/>
          <w:szCs w:val="22"/>
        </w:rPr>
        <w:t xml:space="preserve">El administrador borra los datos de prueba con doble confirmación y copia previa, y genera una copia de seguridad completa descargable.</w:t>
      </w:r>
    </w:p>
    <w:p>
      <w:pPr>
        <w:numPr>
          <w:ilvl w:val="0"/>
          <w:numId w:val="11"/>
        </w:numPr>
        <w:spacing w:after="60" w:line="252" w:lineRule="auto"/>
        <w:ind w:left="714" w:hanging="357"/>
        <w:jc w:val="both"/>
      </w:pPr>
      <w:r>
        <w:rPr>
          <w:rFonts w:ascii="Calibri" w:hAnsi="Calibri" w:cs="Calibri"/>
          <w:sz w:val="22"/>
          <w:szCs w:val="22"/>
        </w:rPr>
        <w:t xml:space="preserve">El tablero responde en menos de dos segundos con las 276 metas y permite bajar desde cualquier cifra hasta la meta o la tarea.</w:t>
      </w:r>
    </w:p>
    <w:p>
      <w:pPr>
        <w:numPr>
          <w:ilvl w:val="0"/>
          <w:numId w:val="11"/>
        </w:numPr>
        <w:spacing w:after="60" w:line="252" w:lineRule="auto"/>
        <w:ind w:left="714" w:hanging="357"/>
        <w:jc w:val="both"/>
      </w:pPr>
      <w:r>
        <w:rPr>
          <w:rFonts w:ascii="Calibri" w:hAnsi="Calibri" w:cs="Calibri"/>
          <w:sz w:val="22"/>
          <w:szCs w:val="22"/>
        </w:rPr>
        <w:t xml:space="preserve">La aplicación es usable desde un teléfono móvil para reportar y cerrar tareas.</w:t>
      </w:r>
    </w:p>
    <w:p>
      <w:pPr>
        <w:spacing w:after="0"/>
      </w:pPr>
      <w:r>
        <w:br w:type="page"/>
      </w:r>
    </w:p>
    <w:p>
      <w:pPr>
        <w:keepNext/>
        <w:pBdr>
          <w:bottom w:val="single" w:sz="6" w:space="2" w:color="9DC3E6"/>
        </w:pBdr>
        <w:spacing w:before="200" w:after="120"/>
      </w:pPr>
      <w:r>
        <w:rPr>
          <w:rFonts w:ascii="Calibri" w:hAnsi="Calibri"/>
          <w:b/>
          <w:color w:val="1F3864"/>
          <w:sz w:val="26"/>
          <w:szCs w:val="26"/>
        </w:rPr>
        <w:t>12. Decisiones pendientes del cliente</w:t>
      </w:r>
    </w:p>
    <w:tbl>
      <w:tblPr>
        <w:tblW w:w="8838"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CellMar>
          <w:top w:w="60" w:type="dxa"/>
          <w:left w:w="110" w:type="dxa"/>
          <w:bottom w:w="60" w:type="dxa"/>
          <w:right w:w="110" w:type="dxa"/>
        </w:tblCellMar>
      </w:tblPr>
      <w:tblGrid>
        <w:gridCol w:w="700"/>
        <w:gridCol w:w="5300"/>
        <w:gridCol w:w="2838"/>
      </w:tblGrid>
      <w:tr>
        <w:trPr>
          <w:cantSplit/>
          <w:tblHeader/>
        </w:trPr>
        <w:tc>
          <w:tcPr>
            <w:tcW w:w="700" w:type="dxa"/>
            <w:shd w:val="clear" w:color="auto" w:fill="1F3864"/>
            <w:vAlign w:val="center"/>
          </w:tcPr>
          <w:p>
            <w:pPr>
              <w:spacing w:before="50" w:after="50" w:line="240" w:lineRule="auto"/>
              <w:jc w:val="center"/>
            </w:pPr>
            <w:r>
              <w:rPr>
                <w:rFonts w:ascii="Calibri" w:hAnsi="Calibri" w:cs="Calibri"/>
                <w:b/>
                <w:color w:val="FFFFFF"/>
                <w:sz w:val="18"/>
                <w:szCs w:val="18"/>
              </w:rPr>
              <w:t xml:space="preserve">N.º</w:t>
            </w:r>
          </w:p>
        </w:tc>
        <w:tc>
          <w:tcPr>
            <w:tcW w:w="5300" w:type="dxa"/>
            <w:shd w:val="clear" w:color="auto" w:fill="1F3864"/>
            <w:vAlign w:val="center"/>
          </w:tcPr>
          <w:p>
            <w:pPr>
              <w:spacing w:before="50" w:after="50" w:line="240" w:lineRule="auto"/>
            </w:pPr>
            <w:r>
              <w:rPr>
                <w:rFonts w:ascii="Calibri" w:hAnsi="Calibri" w:cs="Calibri"/>
                <w:b/>
                <w:color w:val="FFFFFF"/>
                <w:sz w:val="18"/>
                <w:szCs w:val="18"/>
              </w:rPr>
              <w:t xml:space="preserve">Pendiente</w:t>
            </w:r>
          </w:p>
        </w:tc>
        <w:tc>
          <w:tcPr>
            <w:tcW w:w="2838" w:type="dxa"/>
            <w:shd w:val="clear" w:color="auto" w:fill="1F3864"/>
            <w:vAlign w:val="center"/>
          </w:tcPr>
          <w:p>
            <w:pPr>
              <w:spacing w:before="50" w:after="50" w:line="240" w:lineRule="auto"/>
            </w:pPr>
            <w:r>
              <w:rPr>
                <w:rFonts w:ascii="Calibri" w:hAnsi="Calibri" w:cs="Calibri"/>
                <w:b/>
                <w:color w:val="FFFFFF"/>
                <w:sz w:val="18"/>
                <w:szCs w:val="18"/>
              </w:rPr>
              <w:t xml:space="preserve">Impacto</w:t>
            </w:r>
          </w:p>
        </w:tc>
      </w:tr>
      <w:tr>
        <w:trPr>
          <w:cantSplit/>
        </w:trPr>
        <w:tc>
          <w:tcPr>
            <w:tcW w:w="700" w:type="dxa"/>
            <w:shd w:val="clear" w:color="auto" w:fill="F7FAFD"/>
            <w:vAlign w:val="top"/>
          </w:tcPr>
          <w:p>
            <w:pPr>
              <w:spacing w:before="50" w:after="50" w:line="240" w:lineRule="auto"/>
              <w:jc w:val="center"/>
            </w:pPr>
            <w:r>
              <w:rPr>
                <w:rFonts w:ascii="Calibri" w:hAnsi="Calibri" w:cs="Calibri"/>
                <w:sz w:val="18"/>
                <w:szCs w:val="18"/>
              </w:rPr>
              <w:t xml:space="preserve">1</w:t>
            </w:r>
          </w:p>
        </w:tc>
        <w:tc>
          <w:tcPr>
            <w:tcW w:w="5300" w:type="dxa"/>
            <w:shd w:val="clear" w:color="auto" w:fill="F7FAFD"/>
            <w:vAlign w:val="top"/>
          </w:tcPr>
          <w:p>
            <w:pPr>
              <w:spacing w:before="50" w:after="50" w:line="240" w:lineRule="auto"/>
            </w:pPr>
            <w:r>
              <w:rPr>
                <w:rFonts w:ascii="Calibri" w:hAnsi="Calibri" w:cs="Calibri"/>
                <w:sz w:val="18"/>
                <w:szCs w:val="18"/>
              </w:rPr>
              <w:t xml:space="preserve">Número de contrato o acto que respalda el desarrollo</w:t>
            </w:r>
          </w:p>
        </w:tc>
        <w:tc>
          <w:tcPr>
            <w:tcW w:w="2838" w:type="dxa"/>
            <w:shd w:val="clear" w:color="auto" w:fill="F7FAFD"/>
            <w:vAlign w:val="top"/>
          </w:tcPr>
          <w:p>
            <w:pPr>
              <w:spacing w:before="50" w:after="50" w:line="240" w:lineRule="auto"/>
            </w:pPr>
            <w:r>
              <w:rPr>
                <w:rFonts w:ascii="Calibri" w:hAnsi="Calibri" w:cs="Calibri"/>
                <w:sz w:val="18"/>
                <w:szCs w:val="18"/>
              </w:rPr>
              <w:t xml:space="preserve">Identificación formal del documento</w:t>
            </w:r>
          </w:p>
        </w:tc>
      </w:tr>
      <w:tr>
        <w:trPr>
          <w:cantSplit/>
        </w:trPr>
        <w:tc>
          <w:tcPr>
            <w:tcW w:w="700" w:type="dxa"/>
            <w:vAlign w:val="top"/>
          </w:tcPr>
          <w:p>
            <w:pPr>
              <w:spacing w:before="50" w:after="50" w:line="240" w:lineRule="auto"/>
              <w:jc w:val="center"/>
            </w:pPr>
            <w:r>
              <w:rPr>
                <w:rFonts w:ascii="Calibri" w:hAnsi="Calibri" w:cs="Calibri"/>
                <w:sz w:val="18"/>
                <w:szCs w:val="18"/>
              </w:rPr>
              <w:t xml:space="preserve">2</w:t>
            </w:r>
          </w:p>
        </w:tc>
        <w:tc>
          <w:tcPr>
            <w:tcW w:w="5300" w:type="dxa"/>
            <w:vAlign w:val="top"/>
          </w:tcPr>
          <w:p>
            <w:pPr>
              <w:spacing w:before="50" w:after="50" w:line="240" w:lineRule="auto"/>
            </w:pPr>
            <w:r>
              <w:rPr>
                <w:rFonts w:ascii="Calibri" w:hAnsi="Calibri" w:cs="Calibri"/>
                <w:sz w:val="18"/>
                <w:szCs w:val="18"/>
              </w:rPr>
              <w:t xml:space="preserve">Plantilla de usuarios con correos y roles</w:t>
            </w:r>
          </w:p>
        </w:tc>
        <w:tc>
          <w:tcPr>
            <w:tcW w:w="2838" w:type="dxa"/>
            <w:vAlign w:val="top"/>
          </w:tcPr>
          <w:p>
            <w:pPr>
              <w:spacing w:before="50" w:after="50" w:line="240" w:lineRule="auto"/>
            </w:pPr>
            <w:r>
              <w:rPr>
                <w:rFonts w:ascii="Calibri" w:hAnsi="Calibri" w:cs="Calibri"/>
                <w:sz w:val="18"/>
                <w:szCs w:val="18"/>
              </w:rPr>
              <w:t xml:space="preserve">Día 1: acceso de los usuarios</w:t>
            </w:r>
          </w:p>
        </w:tc>
      </w:tr>
      <w:tr>
        <w:trPr>
          <w:cantSplit/>
        </w:trPr>
        <w:tc>
          <w:tcPr>
            <w:tcW w:w="700" w:type="dxa"/>
            <w:shd w:val="clear" w:color="auto" w:fill="F7FAFD"/>
            <w:vAlign w:val="top"/>
          </w:tcPr>
          <w:p>
            <w:pPr>
              <w:spacing w:before="50" w:after="50" w:line="240" w:lineRule="auto"/>
              <w:jc w:val="center"/>
            </w:pPr>
            <w:r>
              <w:rPr>
                <w:rFonts w:ascii="Calibri" w:hAnsi="Calibri" w:cs="Calibri"/>
                <w:sz w:val="18"/>
                <w:szCs w:val="18"/>
              </w:rPr>
              <w:t xml:space="preserve">3</w:t>
            </w:r>
          </w:p>
        </w:tc>
        <w:tc>
          <w:tcPr>
            <w:tcW w:w="5300" w:type="dxa"/>
            <w:shd w:val="clear" w:color="auto" w:fill="F7FAFD"/>
            <w:vAlign w:val="top"/>
          </w:tcPr>
          <w:p>
            <w:pPr>
              <w:spacing w:before="50" w:after="50" w:line="240" w:lineRule="auto"/>
            </w:pPr>
            <w:r>
              <w:rPr>
                <w:rFonts w:ascii="Calibri" w:hAnsi="Calibri" w:cs="Calibri"/>
                <w:sz w:val="18"/>
                <w:szCs w:val="18"/>
              </w:rPr>
              <w:t xml:space="preserve">Responsable de cada una de las 276 metas</w:t>
            </w:r>
          </w:p>
        </w:tc>
        <w:tc>
          <w:tcPr>
            <w:tcW w:w="2838" w:type="dxa"/>
            <w:shd w:val="clear" w:color="auto" w:fill="F7FAFD"/>
            <w:vAlign w:val="top"/>
          </w:tcPr>
          <w:p>
            <w:pPr>
              <w:spacing w:before="50" w:after="50" w:line="240" w:lineRule="auto"/>
            </w:pPr>
            <w:r>
              <w:rPr>
                <w:rFonts w:ascii="Calibri" w:hAnsi="Calibri" w:cs="Calibri"/>
                <w:sz w:val="18"/>
                <w:szCs w:val="18"/>
              </w:rPr>
              <w:t xml:space="preserve">Sin responsable la meta no admite reportes</w:t>
            </w:r>
          </w:p>
        </w:tc>
      </w:tr>
      <w:tr>
        <w:trPr>
          <w:cantSplit/>
        </w:trPr>
        <w:tc>
          <w:tcPr>
            <w:tcW w:w="700" w:type="dxa"/>
            <w:vAlign w:val="top"/>
          </w:tcPr>
          <w:p>
            <w:pPr>
              <w:spacing w:before="50" w:after="50" w:line="240" w:lineRule="auto"/>
              <w:jc w:val="center"/>
            </w:pPr>
            <w:r>
              <w:rPr>
                <w:rFonts w:ascii="Calibri" w:hAnsi="Calibri" w:cs="Calibri"/>
                <w:sz w:val="18"/>
                <w:szCs w:val="18"/>
              </w:rPr>
              <w:t xml:space="preserve">4</w:t>
            </w:r>
          </w:p>
        </w:tc>
        <w:tc>
          <w:tcPr>
            <w:tcW w:w="5300" w:type="dxa"/>
            <w:vAlign w:val="top"/>
          </w:tcPr>
          <w:p>
            <w:pPr>
              <w:spacing w:before="50" w:after="50" w:line="240" w:lineRule="auto"/>
            </w:pPr>
            <w:r>
              <w:rPr>
                <w:rFonts w:ascii="Calibri" w:hAnsi="Calibri" w:cs="Calibri"/>
                <w:sz w:val="18"/>
                <w:szCs w:val="18"/>
              </w:rPr>
              <w:t xml:space="preserve">Componente de las 87 metas de Salud Pública sin componente</w:t>
            </w:r>
          </w:p>
        </w:tc>
        <w:tc>
          <w:tcPr>
            <w:tcW w:w="2838" w:type="dxa"/>
            <w:vAlign w:val="top"/>
          </w:tcPr>
          <w:p>
            <w:pPr>
              <w:spacing w:before="50" w:after="50" w:line="240" w:lineRule="auto"/>
            </w:pPr>
            <w:r>
              <w:rPr>
                <w:rFonts w:ascii="Calibri" w:hAnsi="Calibri" w:cs="Calibri"/>
                <w:sz w:val="18"/>
                <w:szCs w:val="18"/>
              </w:rPr>
              <w:t xml:space="preserve">Alcance del líder de componente</w:t>
            </w:r>
          </w:p>
        </w:tc>
      </w:tr>
      <w:tr>
        <w:trPr>
          <w:cantSplit/>
        </w:trPr>
        <w:tc>
          <w:tcPr>
            <w:tcW w:w="700" w:type="dxa"/>
            <w:shd w:val="clear" w:color="auto" w:fill="F7FAFD"/>
            <w:vAlign w:val="top"/>
          </w:tcPr>
          <w:p>
            <w:pPr>
              <w:spacing w:before="50" w:after="50" w:line="240" w:lineRule="auto"/>
              <w:jc w:val="center"/>
            </w:pPr>
            <w:r>
              <w:rPr>
                <w:rFonts w:ascii="Calibri" w:hAnsi="Calibri" w:cs="Calibri"/>
                <w:sz w:val="18"/>
                <w:szCs w:val="18"/>
              </w:rPr>
              <w:t xml:space="preserve">5</w:t>
            </w:r>
          </w:p>
        </w:tc>
        <w:tc>
          <w:tcPr>
            <w:tcW w:w="5300" w:type="dxa"/>
            <w:shd w:val="clear" w:color="auto" w:fill="F7FAFD"/>
            <w:vAlign w:val="top"/>
          </w:tcPr>
          <w:p>
            <w:pPr>
              <w:spacing w:before="50" w:after="50" w:line="240" w:lineRule="auto"/>
            </w:pPr>
            <w:r>
              <w:rPr>
                <w:rFonts w:ascii="Calibri" w:hAnsi="Calibri" w:cs="Calibri"/>
                <w:sz w:val="18"/>
                <w:szCs w:val="18"/>
              </w:rPr>
              <w:t xml:space="preserve">Revisión de las 27 metas con cumplimiento ≥ 100 %</w:t>
            </w:r>
          </w:p>
        </w:tc>
        <w:tc>
          <w:tcPr>
            <w:tcW w:w="2838" w:type="dxa"/>
            <w:shd w:val="clear" w:color="auto" w:fill="F7FAFD"/>
            <w:vAlign w:val="top"/>
          </w:tcPr>
          <w:p>
            <w:pPr>
              <w:spacing w:before="50" w:after="50" w:line="240" w:lineRule="auto"/>
            </w:pPr>
            <w:r>
              <w:rPr>
                <w:rFonts w:ascii="Calibri" w:hAnsi="Calibri" w:cs="Calibri"/>
                <w:sz w:val="18"/>
                <w:szCs w:val="18"/>
              </w:rPr>
              <w:t xml:space="preserve">Exactitud del avance global</w:t>
            </w:r>
          </w:p>
        </w:tc>
      </w:tr>
      <w:tr>
        <w:trPr>
          <w:cantSplit/>
        </w:trPr>
        <w:tc>
          <w:tcPr>
            <w:tcW w:w="700" w:type="dxa"/>
            <w:vAlign w:val="top"/>
          </w:tcPr>
          <w:p>
            <w:pPr>
              <w:spacing w:before="50" w:after="50" w:line="240" w:lineRule="auto"/>
              <w:jc w:val="center"/>
            </w:pPr>
            <w:r>
              <w:rPr>
                <w:rFonts w:ascii="Calibri" w:hAnsi="Calibri" w:cs="Calibri"/>
                <w:sz w:val="18"/>
                <w:szCs w:val="18"/>
              </w:rPr>
              <w:t xml:space="preserve">6</w:t>
            </w:r>
          </w:p>
        </w:tc>
        <w:tc>
          <w:tcPr>
            <w:tcW w:w="5300" w:type="dxa"/>
            <w:vAlign w:val="top"/>
          </w:tcPr>
          <w:p>
            <w:pPr>
              <w:spacing w:before="50" w:after="50" w:line="240" w:lineRule="auto"/>
            </w:pPr>
            <w:r>
              <w:rPr>
                <w:rFonts w:ascii="Calibri" w:hAnsi="Calibri" w:cs="Calibri"/>
                <w:sz w:val="18"/>
                <w:szCs w:val="18"/>
              </w:rPr>
              <w:t xml:space="preserve">Certificado HTTPS y nombre público del servidor</w:t>
            </w:r>
          </w:p>
        </w:tc>
        <w:tc>
          <w:tcPr>
            <w:tcW w:w="2838" w:type="dxa"/>
            <w:vAlign w:val="top"/>
          </w:tcPr>
          <w:p>
            <w:pPr>
              <w:spacing w:before="50" w:after="50" w:line="240" w:lineRule="auto"/>
            </w:pPr>
            <w:r>
              <w:rPr>
                <w:rFonts w:ascii="Calibri" w:hAnsi="Calibri" w:cs="Calibri"/>
                <w:sz w:val="18"/>
                <w:szCs w:val="18"/>
              </w:rPr>
              <w:t xml:space="preserve">Despliegue del día 7</w:t>
            </w:r>
          </w:p>
        </w:tc>
      </w:tr>
      <w:tr>
        <w:trPr>
          <w:cantSplit/>
        </w:trPr>
        <w:tc>
          <w:tcPr>
            <w:tcW w:w="700" w:type="dxa"/>
            <w:shd w:val="clear" w:color="auto" w:fill="F7FAFD"/>
            <w:vAlign w:val="top"/>
          </w:tcPr>
          <w:p>
            <w:pPr>
              <w:spacing w:before="50" w:after="50" w:line="240" w:lineRule="auto"/>
              <w:jc w:val="center"/>
            </w:pPr>
            <w:r>
              <w:rPr>
                <w:rFonts w:ascii="Calibri" w:hAnsi="Calibri" w:cs="Calibri"/>
                <w:sz w:val="18"/>
                <w:szCs w:val="18"/>
              </w:rPr>
              <w:t xml:space="preserve">7</w:t>
            </w:r>
          </w:p>
        </w:tc>
        <w:tc>
          <w:tcPr>
            <w:tcW w:w="5300" w:type="dxa"/>
            <w:shd w:val="clear" w:color="auto" w:fill="F7FAFD"/>
            <w:vAlign w:val="top"/>
          </w:tcPr>
          <w:p>
            <w:pPr>
              <w:spacing w:before="50" w:after="50" w:line="240" w:lineRule="auto"/>
            </w:pPr>
            <w:r>
              <w:rPr>
                <w:rFonts w:ascii="Calibri" w:hAnsi="Calibri" w:cs="Calibri"/>
                <w:sz w:val="18"/>
                <w:szCs w:val="18"/>
              </w:rPr>
              <w:t xml:space="preserve">Datos del servicio de correo institucional</w:t>
            </w:r>
          </w:p>
        </w:tc>
        <w:tc>
          <w:tcPr>
            <w:tcW w:w="2838" w:type="dxa"/>
            <w:shd w:val="clear" w:color="auto" w:fill="F7FAFD"/>
            <w:vAlign w:val="top"/>
          </w:tcPr>
          <w:p>
            <w:pPr>
              <w:spacing w:before="50" w:after="50" w:line="240" w:lineRule="auto"/>
            </w:pPr>
            <w:r>
              <w:rPr>
                <w:rFonts w:ascii="Calibri" w:hAnsi="Calibri" w:cs="Calibri"/>
                <w:sz w:val="18"/>
                <w:szCs w:val="18"/>
              </w:rPr>
              <w:t xml:space="preserve">Solo si se decide activar el correo</w:t>
            </w:r>
          </w:p>
        </w:tc>
      </w:tr>
    </w:tbl>
    <w:p>
      <w:pPr>
        <w:spacing w:before="0" w:after="0" w:line="264" w:lineRule="auto"/>
      </w:pPr>
    </w:p>
    <w:sectPr w:rsidR="00B44E7F" w:rsidSect="00E5185C">
      <w:headerReference w:type="even" r:id="rId9"/>
      <w:headerReference w:type="default" r:id="rId10"/>
      <w:footerReference w:type="default" r:id="rId11"/>
      <w:headerReference w:type="first" r:id="rId12"/>
      <w:pgSz w:w="12240" w:h="15840"/>
      <w:pgMar w:top="2835" w:right="1701" w:bottom="283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83728" w14:textId="77777777" w:rsidR="00B44E7F" w:rsidRDefault="00B44E7F" w:rsidP="00020BB8">
      <w:pPr>
        <w:spacing w:after="0" w:line="240" w:lineRule="auto"/>
      </w:pPr>
      <w:r>
        <w:separator/>
      </w:r>
    </w:p>
  </w:endnote>
  <w:endnote w:type="continuationSeparator" w:id="0">
    <w:p w14:paraId="0535F056" w14:textId="77777777" w:rsidR="00B44E7F" w:rsidRDefault="00B44E7F" w:rsidP="00020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ontserrat">
    <w:panose1 w:val="000008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Bold">
    <w:panose1 w:val="00000000000000000000"/>
    <w:charset w:val="00"/>
    <w:family w:val="swiss"/>
    <w:notTrueType/>
    <w:pitch w:val="default"/>
    <w:sig w:usb0="00000003" w:usb1="00000000" w:usb2="00000000" w:usb3="00000000" w:csb0="00000001" w:csb1="00000000"/>
  </w:font>
  <w:font w:name="Helvetica-LightOblique">
    <w:panose1 w:val="00000000000000000000"/>
    <w:charset w:val="00"/>
    <w:family w:val="swiss"/>
    <w:notTrueType/>
    <w:pitch w:val="default"/>
    <w:sig w:usb0="00000003" w:usb1="00000000" w:usb2="00000000" w:usb3="00000000" w:csb0="00000001" w:csb1="00000000"/>
  </w:font>
  <w:font w:name="Helvetica-Light">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054F" w14:textId="77777777" w:rsidR="001332A1" w:rsidRPr="00307ACA" w:rsidRDefault="001332A1" w:rsidP="001332A1">
    <w:pPr>
      <w:autoSpaceDE w:val="0"/>
      <w:autoSpaceDN w:val="0"/>
      <w:adjustRightInd w:val="0"/>
      <w:spacing w:after="0" w:line="240" w:lineRule="auto"/>
      <w:jc w:val="center"/>
      <w:rPr>
        <w:rFonts w:ascii="Montserrat" w:hAnsi="Montserrat" w:cs="Helvetica-Bold"/>
        <w:b/>
        <w:bCs/>
        <w:color w:val="009CDC"/>
        <w:sz w:val="20"/>
        <w:szCs w:val="20"/>
        <w:lang w:val="es-ES"/>
      </w:rPr>
    </w:pPr>
    <w:r w:rsidRPr="00307ACA">
      <w:rPr>
        <w:rFonts w:ascii="Montserrat" w:hAnsi="Montserrat"/>
        <w:noProof/>
        <w:sz w:val="20"/>
        <w:szCs w:val="20"/>
        <w:lang w:eastAsia="es-CO"/>
      </w:rPr>
      <mc:AlternateContent>
        <mc:Choice Requires="wps">
          <w:drawing>
            <wp:anchor distT="0" distB="0" distL="114300" distR="114300" simplePos="0" relativeHeight="251670528" behindDoc="0" locked="0" layoutInCell="1" allowOverlap="1" wp14:anchorId="64731AB7" wp14:editId="2ED4D65E">
              <wp:simplePos x="0" y="0"/>
              <wp:positionH relativeFrom="margin">
                <wp:align>right</wp:align>
              </wp:positionH>
              <wp:positionV relativeFrom="paragraph">
                <wp:posOffset>-192405</wp:posOffset>
              </wp:positionV>
              <wp:extent cx="5619750" cy="0"/>
              <wp:effectExtent l="0" t="0" r="19050" b="19050"/>
              <wp:wrapNone/>
              <wp:docPr id="10" name="Conector recto 10"/>
              <wp:cNvGraphicFramePr/>
              <a:graphic xmlns:a="http://schemas.openxmlformats.org/drawingml/2006/main">
                <a:graphicData uri="http://schemas.microsoft.com/office/word/2010/wordprocessingShape">
                  <wps:wsp>
                    <wps:cNvCnPr/>
                    <wps:spPr>
                      <a:xfrm>
                        <a:off x="0" y="0"/>
                        <a:ext cx="5619750" cy="0"/>
                      </a:xfrm>
                      <a:prstGeom prst="line">
                        <a:avLst/>
                      </a:prstGeom>
                      <a:ln w="12700">
                        <a:solidFill>
                          <a:srgbClr val="0070C0">
                            <a:alpha val="60000"/>
                          </a:srgb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31B5D5E" id="Conector recto 10" o:spid="_x0000_s1026" style="position:absolute;z-index:2516705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 from="391.3pt,-15.15pt" to="833.8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" strokecolor="#0070c0" strokeweight="1pt">
              <v:stroke opacity="39321f" endcap="round"/>
              <w10:wrap anchorx="margin"/>
            </v:line>
          </w:pict>
        </mc:Fallback>
      </mc:AlternateContent>
    </w:r>
    <w:r w:rsidRPr="00307ACA">
      <w:rPr>
        <w:rFonts w:ascii="Montserrat" w:hAnsi="Montserrat" w:cs="Helvetica-Bold"/>
        <w:b/>
        <w:bCs/>
        <w:color w:val="009CDC"/>
        <w:sz w:val="20"/>
        <w:szCs w:val="20"/>
        <w:lang w:val="es-ES"/>
      </w:rPr>
      <w:t>INGNOVATICS Consultores S.A.S.</w:t>
    </w:r>
  </w:p>
  <w:p w14:paraId="085E4E11" w14:textId="77777777" w:rsidR="00307ACA" w:rsidRDefault="001332A1" w:rsidP="001332A1">
    <w:pPr>
      <w:autoSpaceDE w:val="0"/>
      <w:autoSpaceDN w:val="0"/>
      <w:adjustRightInd w:val="0"/>
      <w:spacing w:after="0" w:line="240" w:lineRule="auto"/>
      <w:jc w:val="center"/>
      <w:rPr>
        <w:rFonts w:ascii="Montserrat" w:hAnsi="Montserrat" w:cs="Helvetica-Light"/>
        <w:color w:val="87868A"/>
        <w:sz w:val="20"/>
        <w:szCs w:val="20"/>
        <w:lang w:val="es-ES"/>
      </w:rPr>
    </w:pPr>
    <w:r w:rsidRPr="00307ACA">
      <w:rPr>
        <w:rFonts w:ascii="Montserrat" w:hAnsi="Montserrat" w:cs="Helvetica-Bold"/>
        <w:b/>
        <w:bCs/>
        <w:color w:val="009CDC"/>
        <w:sz w:val="20"/>
        <w:szCs w:val="20"/>
        <w:lang w:val="es-ES"/>
      </w:rPr>
      <w:t xml:space="preserve">Teléfono: </w:t>
    </w:r>
    <w:r w:rsidRPr="00307ACA">
      <w:rPr>
        <w:rFonts w:ascii="Montserrat" w:hAnsi="Montserrat" w:cs="Helvetica-Light"/>
        <w:color w:val="87868A"/>
        <w:sz w:val="20"/>
        <w:szCs w:val="20"/>
        <w:lang w:val="es-ES"/>
      </w:rPr>
      <w:t xml:space="preserve">+57 314 568 7468 - </w:t>
    </w:r>
    <w:r w:rsidRPr="00307ACA">
      <w:rPr>
        <w:rFonts w:ascii="Montserrat" w:hAnsi="Montserrat" w:cs="Helvetica-Bold"/>
        <w:b/>
        <w:bCs/>
        <w:color w:val="009CDC"/>
        <w:sz w:val="20"/>
        <w:szCs w:val="20"/>
        <w:lang w:val="es-ES"/>
      </w:rPr>
      <w:t xml:space="preserve">Email: </w:t>
    </w:r>
    <w:r w:rsidRPr="00307ACA">
      <w:rPr>
        <w:rFonts w:ascii="Montserrat" w:hAnsi="Montserrat" w:cs="Helvetica-Light"/>
        <w:color w:val="87868A"/>
        <w:sz w:val="20"/>
        <w:szCs w:val="20"/>
        <w:lang w:val="es-ES"/>
      </w:rPr>
      <w:t>gerencia@ingnovaticsconsultores.com</w:t>
    </w:r>
  </w:p>
  <w:p w14:paraId="24E595A7" w14:textId="77777777" w:rsidR="001332A1" w:rsidRPr="00307ACA" w:rsidRDefault="001332A1" w:rsidP="001332A1">
    <w:pPr>
      <w:autoSpaceDE w:val="0"/>
      <w:autoSpaceDN w:val="0"/>
      <w:adjustRightInd w:val="0"/>
      <w:spacing w:after="0" w:line="240" w:lineRule="auto"/>
      <w:jc w:val="center"/>
      <w:rPr>
        <w:rFonts w:ascii="Montserrat" w:hAnsi="Montserrat" w:cs="Helvetica-Light"/>
        <w:b/>
        <w:bCs/>
        <w:color w:val="87868A"/>
        <w:sz w:val="20"/>
        <w:szCs w:val="20"/>
        <w:lang w:val="es-ES"/>
      </w:rPr>
    </w:pPr>
    <w:r w:rsidRPr="00307ACA">
      <w:rPr>
        <w:rFonts w:ascii="Montserrat" w:hAnsi="Montserrat" w:cs="Helvetica-Light"/>
        <w:b/>
        <w:bCs/>
        <w:color w:val="87868A"/>
        <w:sz w:val="20"/>
        <w:szCs w:val="20"/>
        <w:lang w:val="es-ES"/>
      </w:rPr>
      <w:t>Web</w:t>
    </w:r>
    <w:r w:rsidRPr="00307ACA">
      <w:rPr>
        <w:rFonts w:ascii="Montserrat" w:hAnsi="Montserrat" w:cs="Helvetica-Light"/>
        <w:color w:val="87868A"/>
        <w:sz w:val="20"/>
        <w:szCs w:val="20"/>
        <w:lang w:val="es-ES"/>
      </w:rPr>
      <w:t>: www.ingnovatics.com</w:t>
    </w:r>
    <w:r w:rsidRPr="00307ACA">
      <w:rPr>
        <w:rFonts w:ascii="Montserrat" w:hAnsi="Montserrat" w:cs="Helvetica-Light"/>
        <w:b/>
        <w:bCs/>
        <w:color w:val="87868A"/>
        <w:sz w:val="20"/>
        <w:szCs w:val="20"/>
        <w:lang w:val="es-ES"/>
      </w:rPr>
      <w:t xml:space="preserve"> </w:t>
    </w:r>
  </w:p>
  <w:p w14:paraId="16AAF958" w14:textId="77777777" w:rsidR="00307ACA" w:rsidRDefault="001332A1" w:rsidP="001332A1">
    <w:pPr>
      <w:autoSpaceDE w:val="0"/>
      <w:autoSpaceDN w:val="0"/>
      <w:adjustRightInd w:val="0"/>
      <w:spacing w:after="0" w:line="240" w:lineRule="auto"/>
      <w:jc w:val="center"/>
      <w:rPr>
        <w:rFonts w:ascii="Montserrat" w:hAnsi="Montserrat" w:cs="Helvetica-Light"/>
        <w:color w:val="87868A"/>
        <w:sz w:val="20"/>
        <w:szCs w:val="20"/>
        <w:lang w:val="es-ES"/>
      </w:rPr>
    </w:pPr>
    <w:r w:rsidRPr="00307ACA">
      <w:rPr>
        <w:rFonts w:ascii="Montserrat" w:hAnsi="Montserrat" w:cs="Helvetica-Light"/>
        <w:b/>
        <w:bCs/>
        <w:color w:val="87868A"/>
        <w:sz w:val="20"/>
        <w:szCs w:val="20"/>
      </w:rPr>
      <w:t>Dirección</w:t>
    </w:r>
    <w:r w:rsidRPr="00307ACA">
      <w:rPr>
        <w:rFonts w:ascii="Montserrat" w:hAnsi="Montserrat" w:cs="Helvetica-Light"/>
        <w:color w:val="87868A"/>
        <w:sz w:val="20"/>
        <w:szCs w:val="20"/>
      </w:rPr>
      <w:t xml:space="preserve">: </w:t>
    </w:r>
    <w:r w:rsidR="00EA7BE4" w:rsidRPr="00307ACA">
      <w:rPr>
        <w:rFonts w:ascii="Montserrat" w:hAnsi="Montserrat" w:cs="Helvetica-Light"/>
        <w:color w:val="87868A"/>
        <w:sz w:val="20"/>
        <w:szCs w:val="20"/>
      </w:rPr>
      <w:t>Cra 2B # 14-21 Edificio de Los Bancos -</w:t>
    </w:r>
    <w:proofErr w:type="spellStart"/>
    <w:r w:rsidR="00EA7BE4" w:rsidRPr="00307ACA">
      <w:rPr>
        <w:rFonts w:ascii="Montserrat" w:hAnsi="Montserrat" w:cs="Helvetica-Light"/>
        <w:color w:val="87868A"/>
        <w:sz w:val="20"/>
        <w:szCs w:val="20"/>
      </w:rPr>
      <w:t>Ofic</w:t>
    </w:r>
    <w:proofErr w:type="spellEnd"/>
    <w:r w:rsidR="00EA7BE4" w:rsidRPr="00307ACA">
      <w:rPr>
        <w:rFonts w:ascii="Montserrat" w:hAnsi="Montserrat" w:cs="Helvetica-Light"/>
        <w:color w:val="87868A"/>
        <w:sz w:val="20"/>
        <w:szCs w:val="20"/>
      </w:rPr>
      <w:t>. 1202 - Interior PH 3</w:t>
    </w:r>
    <w:r w:rsidRPr="00307ACA">
      <w:rPr>
        <w:rFonts w:ascii="Montserrat" w:hAnsi="Montserrat" w:cs="Helvetica-Light"/>
        <w:color w:val="87868A"/>
        <w:sz w:val="20"/>
        <w:szCs w:val="20"/>
        <w:lang w:val="es-ES"/>
      </w:rPr>
      <w:t xml:space="preserve"> </w:t>
    </w:r>
    <w:r w:rsidR="00307ACA">
      <w:rPr>
        <w:rFonts w:ascii="Montserrat" w:hAnsi="Montserrat" w:cs="Helvetica-Light"/>
        <w:color w:val="87868A"/>
        <w:sz w:val="20"/>
        <w:szCs w:val="20"/>
        <w:lang w:val="es-ES"/>
      </w:rPr>
      <w:t>–</w:t>
    </w:r>
    <w:r w:rsidRPr="00307ACA">
      <w:rPr>
        <w:rFonts w:ascii="Montserrat" w:hAnsi="Montserrat" w:cs="Helvetica-Light"/>
        <w:color w:val="87868A"/>
        <w:sz w:val="20"/>
        <w:szCs w:val="20"/>
        <w:lang w:val="es-ES"/>
      </w:rPr>
      <w:t xml:space="preserve"> </w:t>
    </w:r>
  </w:p>
  <w:p w14:paraId="382C57FF" w14:textId="77777777" w:rsidR="001332A1" w:rsidRPr="00307ACA" w:rsidRDefault="001332A1" w:rsidP="00307ACA">
    <w:pPr>
      <w:autoSpaceDE w:val="0"/>
      <w:autoSpaceDN w:val="0"/>
      <w:adjustRightInd w:val="0"/>
      <w:spacing w:after="0" w:line="240" w:lineRule="auto"/>
      <w:jc w:val="center"/>
      <w:rPr>
        <w:rFonts w:ascii="Montserrat" w:hAnsi="Montserrat"/>
        <w:sz w:val="20"/>
        <w:szCs w:val="20"/>
      </w:rPr>
    </w:pPr>
    <w:r w:rsidRPr="00307ACA">
      <w:rPr>
        <w:rFonts w:ascii="Montserrat" w:hAnsi="Montserrat" w:cs="Helvetica-Light"/>
        <w:color w:val="87868A"/>
        <w:sz w:val="20"/>
        <w:szCs w:val="20"/>
        <w:lang w:val="es-ES"/>
      </w:rPr>
      <w:t>Centro Histórico</w:t>
    </w:r>
    <w:r w:rsidR="00307ACA">
      <w:rPr>
        <w:rFonts w:ascii="Montserrat" w:hAnsi="Montserrat" w:cs="Helvetica-Light"/>
        <w:color w:val="87868A"/>
        <w:sz w:val="20"/>
        <w:szCs w:val="20"/>
        <w:lang w:val="es-ES"/>
      </w:rPr>
      <w:t xml:space="preserve"> - </w:t>
    </w:r>
    <w:r w:rsidRPr="00307ACA">
      <w:rPr>
        <w:rFonts w:ascii="Montserrat" w:hAnsi="Montserrat" w:cs="Helvetica"/>
        <w:color w:val="87868A"/>
        <w:sz w:val="20"/>
        <w:szCs w:val="20"/>
        <w:lang w:val="es-ES"/>
      </w:rPr>
      <w:t>Santa Marta - Colombia</w:t>
    </w:r>
  </w:p>
  <w:p w14:paraId="18389FDD" w14:textId="77777777" w:rsidR="0008201B" w:rsidRPr="001332A1" w:rsidRDefault="0008201B" w:rsidP="001332A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BED8B" w14:textId="77777777" w:rsidR="00B44E7F" w:rsidRDefault="00B44E7F" w:rsidP="00020BB8">
      <w:pPr>
        <w:spacing w:after="0" w:line="240" w:lineRule="auto"/>
      </w:pPr>
      <w:r>
        <w:separator/>
      </w:r>
    </w:p>
  </w:footnote>
  <w:footnote w:type="continuationSeparator" w:id="0">
    <w:p w14:paraId="056EA5BD" w14:textId="77777777" w:rsidR="00B44E7F" w:rsidRDefault="00B44E7F" w:rsidP="00020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2D62" w14:textId="77777777" w:rsidR="00020BB8" w:rsidRDefault="00000000">
    <w:pPr>
      <w:pStyle w:val="Encabezado"/>
    </w:pPr>
    <w:r>
      <w:rPr>
        <w:noProof/>
        <w:lang w:val="es-ES" w:eastAsia="es-ES"/>
      </w:rPr>
      <w:pict w14:anchorId="70B91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07163" o:spid="_x0000_s1026" type="#_x0000_t75" style="position:absolute;margin-left:0;margin-top:0;width:441.8pt;height:497.05pt;z-index:-251662336;mso-position-horizontal:center;mso-position-horizontal-relative:margin;mso-position-vertical:center;mso-position-vertical-relative:margin" o:allowincell="f">
          <v:imagedata r:id="rId1" o:title="Logo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46C1" w14:textId="77777777" w:rsidR="00020BB8" w:rsidRPr="0008201B" w:rsidRDefault="001332A1" w:rsidP="00D90C56">
    <w:pPr>
      <w:pStyle w:val="Encabezado"/>
      <w:rPr>
        <w:i/>
      </w:rPr>
    </w:pPr>
    <w:r>
      <w:rPr>
        <w:noProof/>
      </w:rPr>
      <w:drawing>
        <wp:anchor distT="0" distB="0" distL="114300" distR="114300" simplePos="0" relativeHeight="251668480" behindDoc="1" locked="0" layoutInCell="1" allowOverlap="1" wp14:anchorId="1DF3676A" wp14:editId="1DD317FD">
          <wp:simplePos x="0" y="0"/>
          <wp:positionH relativeFrom="column">
            <wp:posOffset>0</wp:posOffset>
          </wp:positionH>
          <wp:positionV relativeFrom="paragraph">
            <wp:posOffset>-635</wp:posOffset>
          </wp:positionV>
          <wp:extent cx="1552649" cy="984250"/>
          <wp:effectExtent l="0" t="0" r="9525" b="635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9436" cy="9885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217">
      <w:rPr>
        <w:noProof/>
        <w:lang w:val="es-ES" w:eastAsia="es-ES"/>
      </w:rPr>
      <w:drawing>
        <wp:anchor distT="0" distB="0" distL="114300" distR="114300" simplePos="0" relativeHeight="251664384" behindDoc="1" locked="0" layoutInCell="1" allowOverlap="1" wp14:anchorId="16C73505" wp14:editId="3C9EE222">
          <wp:simplePos x="0" y="0"/>
          <wp:positionH relativeFrom="page">
            <wp:posOffset>0</wp:posOffset>
          </wp:positionH>
          <wp:positionV relativeFrom="paragraph">
            <wp:posOffset>-430530</wp:posOffset>
          </wp:positionV>
          <wp:extent cx="7762875" cy="1228725"/>
          <wp:effectExtent l="0" t="0" r="9525"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ncabezado Sin Logo.png"/>
                  <pic:cNvPicPr/>
                </pic:nvPicPr>
                <pic:blipFill>
                  <a:blip r:embed="rId2">
                    <a:extLst>
                      <a:ext uri="{28A0092B-C50C-407E-A947-70E740481C1C}">
                        <a14:useLocalDpi xmlns:a14="http://schemas.microsoft.com/office/drawing/2010/main" val="0"/>
                      </a:ext>
                    </a:extLst>
                  </a:blip>
                  <a:stretch>
                    <a:fillRect/>
                  </a:stretch>
                </pic:blipFill>
                <pic:spPr>
                  <a:xfrm>
                    <a:off x="0" y="0"/>
                    <a:ext cx="7762875" cy="1228725"/>
                  </a:xfrm>
                  <a:prstGeom prst="rect">
                    <a:avLst/>
                  </a:prstGeom>
                </pic:spPr>
              </pic:pic>
            </a:graphicData>
          </a:graphic>
          <wp14:sizeRelH relativeFrom="margin">
            <wp14:pctWidth>0</wp14:pctWidth>
          </wp14:sizeRelH>
          <wp14:sizeRelV relativeFrom="margin">
            <wp14:pctHeight>0</wp14:pctHeight>
          </wp14:sizeRelV>
        </wp:anchor>
      </w:drawing>
    </w:r>
    <w:r w:rsidR="00D90C56">
      <w:rPr>
        <w:i/>
        <w:noProof/>
        <w:lang w:val="es-ES" w:eastAsia="es-ES"/>
      </w:rPr>
      <mc:AlternateContent>
        <mc:Choice Requires="wps">
          <w:drawing>
            <wp:anchor distT="0" distB="0" distL="114300" distR="114300" simplePos="0" relativeHeight="251663360" behindDoc="0" locked="0" layoutInCell="1" allowOverlap="1" wp14:anchorId="6C9F3E0A" wp14:editId="6D712170">
              <wp:simplePos x="0" y="0"/>
              <wp:positionH relativeFrom="column">
                <wp:posOffset>2063115</wp:posOffset>
              </wp:positionH>
              <wp:positionV relativeFrom="paragraph">
                <wp:posOffset>1112520</wp:posOffset>
              </wp:positionV>
              <wp:extent cx="3971925" cy="0"/>
              <wp:effectExtent l="0" t="0" r="28575" b="19050"/>
              <wp:wrapNone/>
              <wp:docPr id="6" name="Conector recto 6"/>
              <wp:cNvGraphicFramePr/>
              <a:graphic xmlns:a="http://schemas.openxmlformats.org/drawingml/2006/main">
                <a:graphicData uri="http://schemas.microsoft.com/office/word/2010/wordprocessingShape">
                  <wps:wsp>
                    <wps:cNvCnPr/>
                    <wps:spPr>
                      <a:xfrm>
                        <a:off x="0" y="0"/>
                        <a:ext cx="3971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F5D38A" id="Conector recto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2.45pt,87.6pt" to="475.2pt,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" strokecolor="#0a5cbf [2452]">
              <v:stroke opacity="39321f" endcap="round"/>
            </v:line>
          </w:pict>
        </mc:Fallback>
      </mc:AlternateContent>
    </w:r>
    <w:r w:rsidR="00D90C56">
      <w:rPr>
        <w:i/>
        <w:noProof/>
        <w:lang w:val="es-ES" w:eastAsia="es-ES"/>
      </w:rPr>
      <mc:AlternateContent>
        <mc:Choice Requires="wps">
          <w:drawing>
            <wp:anchor distT="0" distB="0" distL="114300" distR="114300" simplePos="0" relativeHeight="251662336" behindDoc="0" locked="0" layoutInCell="1" allowOverlap="1" wp14:anchorId="2DA667B4" wp14:editId="3D7B8A04">
              <wp:simplePos x="0" y="0"/>
              <wp:positionH relativeFrom="column">
                <wp:posOffset>3053715</wp:posOffset>
              </wp:positionH>
              <wp:positionV relativeFrom="paragraph">
                <wp:posOffset>607695</wp:posOffset>
              </wp:positionV>
              <wp:extent cx="3095625" cy="4381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438150"/>
                      </a:xfrm>
                      <a:prstGeom prst="rect">
                        <a:avLst/>
                      </a:prstGeom>
                      <a:noFill/>
                      <a:ln w="9525">
                        <a:noFill/>
                        <a:miter lim="800000"/>
                        <a:headEnd/>
                        <a:tailEnd/>
                      </a:ln>
                    </wps:spPr>
                    <wps:txbx>
                      <w:txbxContent>
                        <w:p w14:paraId="28033156" w14:textId="77777777" w:rsidR="00D90C56" w:rsidRPr="00D90C56" w:rsidRDefault="00D90C56" w:rsidP="00D90C56">
                          <w:pPr>
                            <w:autoSpaceDE w:val="0"/>
                            <w:autoSpaceDN w:val="0"/>
                            <w:adjustRightInd w:val="0"/>
                            <w:spacing w:after="0" w:line="240" w:lineRule="auto"/>
                            <w:jc w:val="right"/>
                            <w:rPr>
                              <w:rFonts w:ascii="Arial Narrow" w:hAnsi="Arial Narrow" w:cs="Helvetica-Bold"/>
                              <w:b/>
                              <w:bCs/>
                              <w:color w:val="87868A"/>
                              <w:sz w:val="24"/>
                              <w:szCs w:val="24"/>
                              <w:lang w:val="es-ES"/>
                            </w:rPr>
                          </w:pPr>
                          <w:proofErr w:type="spellStart"/>
                          <w:r w:rsidRPr="00D90C56">
                            <w:rPr>
                              <w:rFonts w:ascii="Arial Narrow" w:hAnsi="Arial Narrow" w:cs="Helvetica-Bold"/>
                              <w:b/>
                              <w:bCs/>
                              <w:color w:val="87868A"/>
                              <w:sz w:val="24"/>
                              <w:szCs w:val="24"/>
                              <w:lang w:val="es-ES"/>
                            </w:rPr>
                            <w:t>Nit</w:t>
                          </w:r>
                          <w:proofErr w:type="spellEnd"/>
                          <w:r w:rsidRPr="00D90C56">
                            <w:rPr>
                              <w:rFonts w:ascii="Arial Narrow" w:hAnsi="Arial Narrow" w:cs="Helvetica-Bold"/>
                              <w:b/>
                              <w:bCs/>
                              <w:color w:val="87868A"/>
                              <w:sz w:val="24"/>
                              <w:szCs w:val="24"/>
                              <w:lang w:val="es-ES"/>
                            </w:rPr>
                            <w:t>: 900967620-1</w:t>
                          </w:r>
                        </w:p>
                        <w:p w14:paraId="1D88697D" w14:textId="77777777" w:rsidR="00D90C56" w:rsidRPr="003C4149" w:rsidRDefault="00D90C56" w:rsidP="00D90C56">
                          <w:pPr>
                            <w:jc w:val="right"/>
                            <w:rPr>
                              <w:rFonts w:ascii="Arial Narrow" w:hAnsi="Arial Narrow"/>
                              <w:i/>
                            </w:rPr>
                          </w:pPr>
                          <w:r w:rsidRPr="003C4149">
                            <w:rPr>
                              <w:rFonts w:ascii="Arial Narrow" w:hAnsi="Arial Narrow" w:cs="Helvetica-LightOblique"/>
                              <w:i/>
                              <w:iCs/>
                              <w:color w:val="87868A"/>
                              <w:sz w:val="24"/>
                              <w:szCs w:val="24"/>
                              <w:lang w:val="es-ES"/>
                            </w:rPr>
                            <w:t>Ingeniería, Innovación y Tecnología a su servicio</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DA667B4" id="_x0000_t202" coordsize="21600,21600" o:spt="202" path="m,l,21600r21600,l21600,xe">
              <v:stroke joinstyle="miter"/>
              <v:path gradientshapeok="t" o:connecttype="rect"/>
            </v:shapetype>
            <v:shape id="Cuadro de texto 2" o:spid="_x0000_s1026" type="#_x0000_t202" style="position:absolute;margin-left:240.45pt;margin-top:47.85pt;width:243.75pt;height:3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" filled="f" stroked="f">
              <v:textbox>
                <w:txbxContent>
                  <w:p w14:paraId="7BC87FE2" w14:textId="77777777" w:rsidR="00D90C56" w:rsidRPr="00D90C56" w:rsidRDefault="00D90C56" w:rsidP="00D90C56">
                    <w:pPr>
                      <w:autoSpaceDE w:val="0"/>
                      <w:autoSpaceDN w:val="0"/>
                      <w:adjustRightInd w:val="0"/>
                      <w:spacing w:after="0" w:line="240" w:lineRule="auto"/>
                      <w:jc w:val="right"/>
                      <w:rPr>
                        <w:rFonts w:ascii="Arial Narrow" w:hAnsi="Arial Narrow" w:cs="Helvetica-Bold"/>
                        <w:b/>
                        <w:bCs/>
                        <w:color w:val="87868A"/>
                        <w:sz w:val="24"/>
                        <w:szCs w:val="24"/>
                        <w:lang w:val="es-ES"/>
                      </w:rPr>
                    </w:pPr>
                    <w:proofErr w:type="spellStart"/>
                    <w:r w:rsidRPr="00D90C56">
                      <w:rPr>
                        <w:rFonts w:ascii="Arial Narrow" w:hAnsi="Arial Narrow" w:cs="Helvetica-Bold"/>
                        <w:b/>
                        <w:bCs/>
                        <w:color w:val="87868A"/>
                        <w:sz w:val="24"/>
                        <w:szCs w:val="24"/>
                        <w:lang w:val="es-ES"/>
                      </w:rPr>
                      <w:t>Nit</w:t>
                    </w:r>
                    <w:proofErr w:type="spellEnd"/>
                    <w:r w:rsidRPr="00D90C56">
                      <w:rPr>
                        <w:rFonts w:ascii="Arial Narrow" w:hAnsi="Arial Narrow" w:cs="Helvetica-Bold"/>
                        <w:b/>
                        <w:bCs/>
                        <w:color w:val="87868A"/>
                        <w:sz w:val="24"/>
                        <w:szCs w:val="24"/>
                        <w:lang w:val="es-ES"/>
                      </w:rPr>
                      <w:t>: 900967620-1</w:t>
                    </w:r>
                  </w:p>
                  <w:p w14:paraId="55DEF491" w14:textId="77777777" w:rsidR="00D90C56" w:rsidRPr="003C4149" w:rsidRDefault="00D90C56" w:rsidP="00D90C56">
                    <w:pPr>
                      <w:jc w:val="right"/>
                      <w:rPr>
                        <w:rFonts w:ascii="Arial Narrow" w:hAnsi="Arial Narrow"/>
                        <w:i/>
                      </w:rPr>
                    </w:pPr>
                    <w:r w:rsidRPr="003C4149">
                      <w:rPr>
                        <w:rFonts w:ascii="Arial Narrow" w:hAnsi="Arial Narrow" w:cs="Helvetica-LightOblique"/>
                        <w:i/>
                        <w:iCs/>
                        <w:color w:val="87868A"/>
                        <w:sz w:val="24"/>
                        <w:szCs w:val="24"/>
                        <w:lang w:val="es-ES"/>
                      </w:rPr>
                      <w:t>Ingeniería, Innovación y Tecnología a su servicio</w:t>
                    </w:r>
                  </w:p>
                </w:txbxContent>
              </v:textbox>
            </v:shape>
          </w:pict>
        </mc:Fallback>
      </mc:AlternateContent>
    </w:r>
    <w:r w:rsidR="00D90C56">
      <w:rPr>
        <w:i/>
      </w:rPr>
      <w:tab/>
    </w:r>
    <w:r w:rsidR="00D90C56">
      <w:rPr>
        <w:i/>
      </w:rPr>
      <w:tab/>
    </w:r>
    <w:r w:rsidR="00D90C56">
      <w:rPr>
        <w: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249C" w14:textId="77777777" w:rsidR="00020BB8" w:rsidRDefault="00000000">
    <w:pPr>
      <w:pStyle w:val="Encabezado"/>
    </w:pPr>
    <w:r>
      <w:rPr>
        <w:noProof/>
        <w:lang w:val="es-ES" w:eastAsia="es-ES"/>
      </w:rPr>
      <w:pict w14:anchorId="057BDC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307162" o:spid="_x0000_s1025" type="#_x0000_t75" style="position:absolute;margin-left:0;margin-top:0;width:441.8pt;height:497.05pt;z-index:-251663360;mso-position-horizontal:center;mso-position-horizontal-relative:margin;mso-position-vertical:center;mso-position-vertical-relative:margin" o:allowincell="f">
          <v:imagedata r:id="rId1" o:title="Logo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8B0"/>
    <w:multiLevelType w:val="multilevel"/>
    <w:tmpl w:val="54FE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D5986"/>
    <w:multiLevelType w:val="multilevel"/>
    <w:tmpl w:val="7E1EBF8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A31382B"/>
    <w:multiLevelType w:val="multilevel"/>
    <w:tmpl w:val="1E7E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643EF"/>
    <w:multiLevelType w:val="hybridMultilevel"/>
    <w:tmpl w:val="CABC2D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9B01A88"/>
    <w:multiLevelType w:val="hybridMultilevel"/>
    <w:tmpl w:val="E8C675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955CCE"/>
    <w:multiLevelType w:val="hybridMultilevel"/>
    <w:tmpl w:val="15D4E0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D755AF0"/>
    <w:multiLevelType w:val="hybridMultilevel"/>
    <w:tmpl w:val="CA1664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9857ADA"/>
    <w:multiLevelType w:val="hybridMultilevel"/>
    <w:tmpl w:val="7AE2B5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E5C291A"/>
    <w:multiLevelType w:val="multilevel"/>
    <w:tmpl w:val="2EF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2581C"/>
    <w:multiLevelType w:val="multilevel"/>
    <w:tmpl w:val="C2B4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70E31"/>
    <w:multiLevelType w:val="multilevel"/>
    <w:tmpl w:val="1CF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545EF"/>
    <w:multiLevelType w:val="hybridMultilevel"/>
    <w:tmpl w:val="6A4EAC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7306C50"/>
    <w:multiLevelType w:val="hybridMultilevel"/>
    <w:tmpl w:val="EF8A4A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F2E12C6"/>
    <w:multiLevelType w:val="hybridMultilevel"/>
    <w:tmpl w:val="E52210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AF14780"/>
    <w:multiLevelType w:val="hybridMultilevel"/>
    <w:tmpl w:val="8BCCA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0167AEB"/>
    <w:multiLevelType w:val="hybridMultilevel"/>
    <w:tmpl w:val="9BB05B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63D7BB5"/>
    <w:multiLevelType w:val="hybridMultilevel"/>
    <w:tmpl w:val="4956F9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F68327A"/>
    <w:multiLevelType w:val="multilevel"/>
    <w:tmpl w:val="604E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336E1"/>
    <w:multiLevelType w:val="multilevel"/>
    <w:tmpl w:val="35C6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551885">
    <w:abstractNumId w:val="1"/>
    <w:lvlOverride w:ilvl="0">
      <w:startOverride w:val="1"/>
    </w:lvlOverride>
  </w:num>
  <w:num w:numId="2" w16cid:durableId="1567910636">
    <w:abstractNumId w:val="13"/>
  </w:num>
  <w:num w:numId="3" w16cid:durableId="1010641676">
    <w:abstractNumId w:val="5"/>
  </w:num>
  <w:num w:numId="4" w16cid:durableId="1332220279">
    <w:abstractNumId w:val="11"/>
  </w:num>
  <w:num w:numId="5" w16cid:durableId="1209295535">
    <w:abstractNumId w:val="3"/>
  </w:num>
  <w:num w:numId="6" w16cid:durableId="1571966799">
    <w:abstractNumId w:val="14"/>
  </w:num>
  <w:num w:numId="7" w16cid:durableId="1213152187">
    <w:abstractNumId w:val="7"/>
  </w:num>
  <w:num w:numId="8" w16cid:durableId="1609504474">
    <w:abstractNumId w:val="16"/>
  </w:num>
  <w:num w:numId="9" w16cid:durableId="1161114762">
    <w:abstractNumId w:val="15"/>
  </w:num>
  <w:num w:numId="10" w16cid:durableId="1881505213">
    <w:abstractNumId w:val="4"/>
  </w:num>
  <w:num w:numId="11" w16cid:durableId="706218632">
    <w:abstractNumId w:val="12"/>
  </w:num>
  <w:num w:numId="12" w16cid:durableId="1271157886">
    <w:abstractNumId w:val="6"/>
  </w:num>
  <w:num w:numId="13" w16cid:durableId="1294169080">
    <w:abstractNumId w:val="10"/>
  </w:num>
  <w:num w:numId="14" w16cid:durableId="829636985">
    <w:abstractNumId w:val="9"/>
  </w:num>
  <w:num w:numId="15" w16cid:durableId="1789078697">
    <w:abstractNumId w:val="18"/>
  </w:num>
  <w:num w:numId="16" w16cid:durableId="1408765478">
    <w:abstractNumId w:val="2"/>
  </w:num>
  <w:num w:numId="17" w16cid:durableId="2131045965">
    <w:abstractNumId w:val="0"/>
  </w:num>
  <w:num w:numId="18" w16cid:durableId="93675410">
    <w:abstractNumId w:val="8"/>
  </w:num>
  <w:num w:numId="19" w16cid:durableId="5399010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369"/>
    <w:rsid w:val="000008B2"/>
    <w:rsid w:val="00015803"/>
    <w:rsid w:val="00017305"/>
    <w:rsid w:val="00020BB8"/>
    <w:rsid w:val="00027B03"/>
    <w:rsid w:val="00036B82"/>
    <w:rsid w:val="0004052A"/>
    <w:rsid w:val="000434C1"/>
    <w:rsid w:val="0005440F"/>
    <w:rsid w:val="0007682A"/>
    <w:rsid w:val="00076FB7"/>
    <w:rsid w:val="0008201B"/>
    <w:rsid w:val="000844B0"/>
    <w:rsid w:val="00090293"/>
    <w:rsid w:val="000A0369"/>
    <w:rsid w:val="000A37FA"/>
    <w:rsid w:val="000B0D46"/>
    <w:rsid w:val="000B5FB6"/>
    <w:rsid w:val="000C159E"/>
    <w:rsid w:val="000C6C78"/>
    <w:rsid w:val="000E1A42"/>
    <w:rsid w:val="00102E81"/>
    <w:rsid w:val="00107E7A"/>
    <w:rsid w:val="001125ED"/>
    <w:rsid w:val="001141CA"/>
    <w:rsid w:val="001144E9"/>
    <w:rsid w:val="00117089"/>
    <w:rsid w:val="00121FB3"/>
    <w:rsid w:val="00122621"/>
    <w:rsid w:val="001231EB"/>
    <w:rsid w:val="001332A1"/>
    <w:rsid w:val="0013339A"/>
    <w:rsid w:val="001340DC"/>
    <w:rsid w:val="001444CF"/>
    <w:rsid w:val="001458D5"/>
    <w:rsid w:val="00150B91"/>
    <w:rsid w:val="001519F7"/>
    <w:rsid w:val="001579AA"/>
    <w:rsid w:val="00162879"/>
    <w:rsid w:val="00173467"/>
    <w:rsid w:val="0018095D"/>
    <w:rsid w:val="001977A1"/>
    <w:rsid w:val="001B2A75"/>
    <w:rsid w:val="001D143F"/>
    <w:rsid w:val="001E650E"/>
    <w:rsid w:val="001E7EE2"/>
    <w:rsid w:val="001F27B7"/>
    <w:rsid w:val="001F2FAD"/>
    <w:rsid w:val="001F3D08"/>
    <w:rsid w:val="00202703"/>
    <w:rsid w:val="002059D8"/>
    <w:rsid w:val="00222B64"/>
    <w:rsid w:val="0022498C"/>
    <w:rsid w:val="00230043"/>
    <w:rsid w:val="00230A32"/>
    <w:rsid w:val="00234364"/>
    <w:rsid w:val="002351C6"/>
    <w:rsid w:val="00252664"/>
    <w:rsid w:val="002541BC"/>
    <w:rsid w:val="002554B2"/>
    <w:rsid w:val="002602BF"/>
    <w:rsid w:val="00263F1F"/>
    <w:rsid w:val="00264D00"/>
    <w:rsid w:val="00273FEA"/>
    <w:rsid w:val="00280CCB"/>
    <w:rsid w:val="00282150"/>
    <w:rsid w:val="002868C4"/>
    <w:rsid w:val="00291BE9"/>
    <w:rsid w:val="002935DA"/>
    <w:rsid w:val="002937F4"/>
    <w:rsid w:val="00294402"/>
    <w:rsid w:val="002A48C2"/>
    <w:rsid w:val="002B0A86"/>
    <w:rsid w:val="002B3B05"/>
    <w:rsid w:val="002B7279"/>
    <w:rsid w:val="002C0F57"/>
    <w:rsid w:val="002D4A2F"/>
    <w:rsid w:val="002D7BA9"/>
    <w:rsid w:val="002E0B46"/>
    <w:rsid w:val="002F196B"/>
    <w:rsid w:val="00300D0D"/>
    <w:rsid w:val="00304DAD"/>
    <w:rsid w:val="00305127"/>
    <w:rsid w:val="00307ACA"/>
    <w:rsid w:val="0031152D"/>
    <w:rsid w:val="00311F6D"/>
    <w:rsid w:val="003128CA"/>
    <w:rsid w:val="00313444"/>
    <w:rsid w:val="003169AD"/>
    <w:rsid w:val="003258A9"/>
    <w:rsid w:val="00335B6C"/>
    <w:rsid w:val="003409A6"/>
    <w:rsid w:val="0034178B"/>
    <w:rsid w:val="00344C03"/>
    <w:rsid w:val="00347796"/>
    <w:rsid w:val="0035150F"/>
    <w:rsid w:val="00351CFE"/>
    <w:rsid w:val="0035460D"/>
    <w:rsid w:val="00375B84"/>
    <w:rsid w:val="0037730C"/>
    <w:rsid w:val="00377B95"/>
    <w:rsid w:val="003908D5"/>
    <w:rsid w:val="003956AF"/>
    <w:rsid w:val="003A5DED"/>
    <w:rsid w:val="003A7F9B"/>
    <w:rsid w:val="003B1043"/>
    <w:rsid w:val="003C4149"/>
    <w:rsid w:val="003D0506"/>
    <w:rsid w:val="003E71FF"/>
    <w:rsid w:val="003F27CD"/>
    <w:rsid w:val="004030BF"/>
    <w:rsid w:val="00410563"/>
    <w:rsid w:val="00421DF9"/>
    <w:rsid w:val="00431B9B"/>
    <w:rsid w:val="004341F3"/>
    <w:rsid w:val="004353C4"/>
    <w:rsid w:val="00443C4B"/>
    <w:rsid w:val="004502D1"/>
    <w:rsid w:val="00450E8B"/>
    <w:rsid w:val="00451917"/>
    <w:rsid w:val="0046249B"/>
    <w:rsid w:val="00463FB1"/>
    <w:rsid w:val="00464731"/>
    <w:rsid w:val="00465B1F"/>
    <w:rsid w:val="00473EB1"/>
    <w:rsid w:val="0047596D"/>
    <w:rsid w:val="004826D8"/>
    <w:rsid w:val="00490038"/>
    <w:rsid w:val="00497F4B"/>
    <w:rsid w:val="004A0853"/>
    <w:rsid w:val="004A23B9"/>
    <w:rsid w:val="004B2865"/>
    <w:rsid w:val="004B5F9C"/>
    <w:rsid w:val="004C2E0E"/>
    <w:rsid w:val="004D3440"/>
    <w:rsid w:val="004E38EC"/>
    <w:rsid w:val="004E61F4"/>
    <w:rsid w:val="004F10BB"/>
    <w:rsid w:val="004F1A0A"/>
    <w:rsid w:val="005015FB"/>
    <w:rsid w:val="0050566E"/>
    <w:rsid w:val="005265A6"/>
    <w:rsid w:val="0053098D"/>
    <w:rsid w:val="00530FEA"/>
    <w:rsid w:val="00531DB7"/>
    <w:rsid w:val="005435E4"/>
    <w:rsid w:val="00550BBA"/>
    <w:rsid w:val="0055248A"/>
    <w:rsid w:val="005527AF"/>
    <w:rsid w:val="00566F73"/>
    <w:rsid w:val="005713F9"/>
    <w:rsid w:val="005A0A65"/>
    <w:rsid w:val="005B68A6"/>
    <w:rsid w:val="005C36DE"/>
    <w:rsid w:val="005E491E"/>
    <w:rsid w:val="005F26EF"/>
    <w:rsid w:val="00615964"/>
    <w:rsid w:val="00620959"/>
    <w:rsid w:val="00621E30"/>
    <w:rsid w:val="00622A20"/>
    <w:rsid w:val="006246AB"/>
    <w:rsid w:val="006252C3"/>
    <w:rsid w:val="006254AA"/>
    <w:rsid w:val="006275D4"/>
    <w:rsid w:val="006350E5"/>
    <w:rsid w:val="006454A4"/>
    <w:rsid w:val="006517C2"/>
    <w:rsid w:val="00654B2A"/>
    <w:rsid w:val="006700F9"/>
    <w:rsid w:val="00671677"/>
    <w:rsid w:val="006866ED"/>
    <w:rsid w:val="00696747"/>
    <w:rsid w:val="006A04CE"/>
    <w:rsid w:val="006A16E8"/>
    <w:rsid w:val="006A2606"/>
    <w:rsid w:val="006B2EE4"/>
    <w:rsid w:val="006C0278"/>
    <w:rsid w:val="006C1925"/>
    <w:rsid w:val="006C37B4"/>
    <w:rsid w:val="006C4FF7"/>
    <w:rsid w:val="006D069D"/>
    <w:rsid w:val="006D5A8F"/>
    <w:rsid w:val="006D6AC3"/>
    <w:rsid w:val="006E0044"/>
    <w:rsid w:val="006E73B4"/>
    <w:rsid w:val="006E78C1"/>
    <w:rsid w:val="006F1030"/>
    <w:rsid w:val="007002D2"/>
    <w:rsid w:val="007117C8"/>
    <w:rsid w:val="00723519"/>
    <w:rsid w:val="00741E38"/>
    <w:rsid w:val="00742F6D"/>
    <w:rsid w:val="00745A74"/>
    <w:rsid w:val="007469B9"/>
    <w:rsid w:val="0075355D"/>
    <w:rsid w:val="00765B9A"/>
    <w:rsid w:val="00777217"/>
    <w:rsid w:val="00797FD0"/>
    <w:rsid w:val="007A73B6"/>
    <w:rsid w:val="007B2F0D"/>
    <w:rsid w:val="007B471F"/>
    <w:rsid w:val="007C65C3"/>
    <w:rsid w:val="007D5EC3"/>
    <w:rsid w:val="007D64F9"/>
    <w:rsid w:val="007D6E22"/>
    <w:rsid w:val="007D7499"/>
    <w:rsid w:val="007E020B"/>
    <w:rsid w:val="007F04B3"/>
    <w:rsid w:val="007F09F1"/>
    <w:rsid w:val="007F2220"/>
    <w:rsid w:val="007F3EE6"/>
    <w:rsid w:val="00800CE7"/>
    <w:rsid w:val="008105B9"/>
    <w:rsid w:val="00814B47"/>
    <w:rsid w:val="00814BE8"/>
    <w:rsid w:val="00820A25"/>
    <w:rsid w:val="00825748"/>
    <w:rsid w:val="00826924"/>
    <w:rsid w:val="008368FF"/>
    <w:rsid w:val="00840CD3"/>
    <w:rsid w:val="00862D18"/>
    <w:rsid w:val="00864EAD"/>
    <w:rsid w:val="008676D5"/>
    <w:rsid w:val="008719AD"/>
    <w:rsid w:val="0088090D"/>
    <w:rsid w:val="00883D09"/>
    <w:rsid w:val="00884703"/>
    <w:rsid w:val="008941B9"/>
    <w:rsid w:val="008A7AC7"/>
    <w:rsid w:val="008B00C4"/>
    <w:rsid w:val="008B0439"/>
    <w:rsid w:val="008B6B98"/>
    <w:rsid w:val="008E2B29"/>
    <w:rsid w:val="0090469A"/>
    <w:rsid w:val="0091211E"/>
    <w:rsid w:val="0091330F"/>
    <w:rsid w:val="0091567C"/>
    <w:rsid w:val="00916396"/>
    <w:rsid w:val="00921405"/>
    <w:rsid w:val="00931CD1"/>
    <w:rsid w:val="00936574"/>
    <w:rsid w:val="009376D9"/>
    <w:rsid w:val="00945BA3"/>
    <w:rsid w:val="009579F7"/>
    <w:rsid w:val="00964853"/>
    <w:rsid w:val="00967F43"/>
    <w:rsid w:val="00971416"/>
    <w:rsid w:val="009715A1"/>
    <w:rsid w:val="00971EE7"/>
    <w:rsid w:val="00973EA9"/>
    <w:rsid w:val="009839A2"/>
    <w:rsid w:val="009850D6"/>
    <w:rsid w:val="00994259"/>
    <w:rsid w:val="009C6A6B"/>
    <w:rsid w:val="009D3018"/>
    <w:rsid w:val="009D6DA6"/>
    <w:rsid w:val="009E3011"/>
    <w:rsid w:val="009F67A5"/>
    <w:rsid w:val="00A123BD"/>
    <w:rsid w:val="00A1778A"/>
    <w:rsid w:val="00A20750"/>
    <w:rsid w:val="00A27F5A"/>
    <w:rsid w:val="00A31F86"/>
    <w:rsid w:val="00A45AC2"/>
    <w:rsid w:val="00A4761B"/>
    <w:rsid w:val="00A52213"/>
    <w:rsid w:val="00A5420B"/>
    <w:rsid w:val="00A62730"/>
    <w:rsid w:val="00A738BE"/>
    <w:rsid w:val="00A856BF"/>
    <w:rsid w:val="00A904CD"/>
    <w:rsid w:val="00A93017"/>
    <w:rsid w:val="00A97526"/>
    <w:rsid w:val="00AA22F1"/>
    <w:rsid w:val="00AB3D0C"/>
    <w:rsid w:val="00AC2056"/>
    <w:rsid w:val="00AD11C9"/>
    <w:rsid w:val="00AE307C"/>
    <w:rsid w:val="00AE34A1"/>
    <w:rsid w:val="00AF08F6"/>
    <w:rsid w:val="00AF7C89"/>
    <w:rsid w:val="00B01BF9"/>
    <w:rsid w:val="00B02FF3"/>
    <w:rsid w:val="00B05DF0"/>
    <w:rsid w:val="00B07637"/>
    <w:rsid w:val="00B265D0"/>
    <w:rsid w:val="00B370AD"/>
    <w:rsid w:val="00B40ACA"/>
    <w:rsid w:val="00B41F07"/>
    <w:rsid w:val="00B44E7F"/>
    <w:rsid w:val="00B456E4"/>
    <w:rsid w:val="00B45F39"/>
    <w:rsid w:val="00B471F0"/>
    <w:rsid w:val="00B61F44"/>
    <w:rsid w:val="00B63FD4"/>
    <w:rsid w:val="00B8082A"/>
    <w:rsid w:val="00B818F4"/>
    <w:rsid w:val="00B82F37"/>
    <w:rsid w:val="00B8649C"/>
    <w:rsid w:val="00B97201"/>
    <w:rsid w:val="00BA40C7"/>
    <w:rsid w:val="00BC79F4"/>
    <w:rsid w:val="00BD4CA1"/>
    <w:rsid w:val="00BF0185"/>
    <w:rsid w:val="00C012EA"/>
    <w:rsid w:val="00C1417F"/>
    <w:rsid w:val="00C15530"/>
    <w:rsid w:val="00C17ECE"/>
    <w:rsid w:val="00C21BEC"/>
    <w:rsid w:val="00C30507"/>
    <w:rsid w:val="00C31302"/>
    <w:rsid w:val="00C46C34"/>
    <w:rsid w:val="00C56C43"/>
    <w:rsid w:val="00C600BC"/>
    <w:rsid w:val="00C61DB3"/>
    <w:rsid w:val="00C6406A"/>
    <w:rsid w:val="00C8287B"/>
    <w:rsid w:val="00C87B6F"/>
    <w:rsid w:val="00C90BE2"/>
    <w:rsid w:val="00C9205B"/>
    <w:rsid w:val="00C93027"/>
    <w:rsid w:val="00CA18C4"/>
    <w:rsid w:val="00CC25E2"/>
    <w:rsid w:val="00CC60EE"/>
    <w:rsid w:val="00CC68D3"/>
    <w:rsid w:val="00CC7E5B"/>
    <w:rsid w:val="00CD390A"/>
    <w:rsid w:val="00CE33B9"/>
    <w:rsid w:val="00CE4B1F"/>
    <w:rsid w:val="00CE762F"/>
    <w:rsid w:val="00CE7B46"/>
    <w:rsid w:val="00CF6069"/>
    <w:rsid w:val="00CF6968"/>
    <w:rsid w:val="00D02906"/>
    <w:rsid w:val="00D04199"/>
    <w:rsid w:val="00D14AB7"/>
    <w:rsid w:val="00D1786B"/>
    <w:rsid w:val="00D2615F"/>
    <w:rsid w:val="00D2627B"/>
    <w:rsid w:val="00D32E4B"/>
    <w:rsid w:val="00D34B9F"/>
    <w:rsid w:val="00D369DC"/>
    <w:rsid w:val="00D45D3D"/>
    <w:rsid w:val="00D513BD"/>
    <w:rsid w:val="00D579D7"/>
    <w:rsid w:val="00D74EEF"/>
    <w:rsid w:val="00D865D8"/>
    <w:rsid w:val="00D90C56"/>
    <w:rsid w:val="00DA02C8"/>
    <w:rsid w:val="00DA2A40"/>
    <w:rsid w:val="00DC41B4"/>
    <w:rsid w:val="00DD0FDF"/>
    <w:rsid w:val="00DD6EF2"/>
    <w:rsid w:val="00DD77C6"/>
    <w:rsid w:val="00DF09B7"/>
    <w:rsid w:val="00DF28E8"/>
    <w:rsid w:val="00DF3BCF"/>
    <w:rsid w:val="00DF4DEB"/>
    <w:rsid w:val="00DF5A39"/>
    <w:rsid w:val="00E0086C"/>
    <w:rsid w:val="00E10165"/>
    <w:rsid w:val="00E17725"/>
    <w:rsid w:val="00E21F1A"/>
    <w:rsid w:val="00E22A42"/>
    <w:rsid w:val="00E32D1E"/>
    <w:rsid w:val="00E3698F"/>
    <w:rsid w:val="00E403EB"/>
    <w:rsid w:val="00E460F2"/>
    <w:rsid w:val="00E5185C"/>
    <w:rsid w:val="00E53623"/>
    <w:rsid w:val="00E54B27"/>
    <w:rsid w:val="00E56690"/>
    <w:rsid w:val="00E8011B"/>
    <w:rsid w:val="00E86414"/>
    <w:rsid w:val="00E86C20"/>
    <w:rsid w:val="00E9184F"/>
    <w:rsid w:val="00E964EB"/>
    <w:rsid w:val="00EA30D5"/>
    <w:rsid w:val="00EA38E1"/>
    <w:rsid w:val="00EA7BE4"/>
    <w:rsid w:val="00EB012F"/>
    <w:rsid w:val="00EB2830"/>
    <w:rsid w:val="00EB45FF"/>
    <w:rsid w:val="00EE079C"/>
    <w:rsid w:val="00EF42E3"/>
    <w:rsid w:val="00EF4592"/>
    <w:rsid w:val="00F01700"/>
    <w:rsid w:val="00F03F9C"/>
    <w:rsid w:val="00F04742"/>
    <w:rsid w:val="00F14736"/>
    <w:rsid w:val="00F20215"/>
    <w:rsid w:val="00F36D1A"/>
    <w:rsid w:val="00F427E3"/>
    <w:rsid w:val="00F44800"/>
    <w:rsid w:val="00F44834"/>
    <w:rsid w:val="00F5323F"/>
    <w:rsid w:val="00F54415"/>
    <w:rsid w:val="00F54DD8"/>
    <w:rsid w:val="00F559E1"/>
    <w:rsid w:val="00F6011F"/>
    <w:rsid w:val="00F73DE4"/>
    <w:rsid w:val="00F75826"/>
    <w:rsid w:val="00F8575F"/>
    <w:rsid w:val="00F9565B"/>
    <w:rsid w:val="00FC7917"/>
    <w:rsid w:val="00FD1E88"/>
    <w:rsid w:val="00FF133F"/>
    <w:rsid w:val="00FF24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D8755"/>
  <w15:chartTrackingRefBased/>
  <w15:docId w15:val="{4E0E8089-DE87-4242-980F-85953FE9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BE8"/>
  </w:style>
  <w:style w:type="paragraph" w:styleId="Ttulo1">
    <w:name w:val="heading 1"/>
    <w:basedOn w:val="Normal"/>
    <w:next w:val="Normal"/>
    <w:link w:val="Ttulo1Car"/>
    <w:uiPriority w:val="9"/>
    <w:qFormat/>
    <w:rsid w:val="00862D18"/>
    <w:pPr>
      <w:keepNext/>
      <w:keepLines/>
      <w:spacing w:after="0" w:line="240" w:lineRule="auto"/>
      <w:outlineLvl w:val="0"/>
    </w:pPr>
    <w:rPr>
      <w:rFonts w:ascii="Montserrat" w:eastAsiaTheme="majorEastAsia" w:hAnsi="Montserrat" w:cstheme="majorBidi"/>
      <w:b/>
      <w:sz w:val="28"/>
      <w:szCs w:val="36"/>
    </w:rPr>
  </w:style>
  <w:style w:type="paragraph" w:styleId="Ttulo2">
    <w:name w:val="heading 2"/>
    <w:basedOn w:val="Normal"/>
    <w:next w:val="Normal"/>
    <w:link w:val="Ttulo2Car"/>
    <w:uiPriority w:val="9"/>
    <w:unhideWhenUsed/>
    <w:qFormat/>
    <w:rsid w:val="00862D18"/>
    <w:pPr>
      <w:keepNext/>
      <w:keepLines/>
      <w:spacing w:after="0" w:line="240" w:lineRule="auto"/>
      <w:outlineLvl w:val="1"/>
    </w:pPr>
    <w:rPr>
      <w:rFonts w:ascii="Montserrat" w:eastAsiaTheme="majorEastAsia" w:hAnsi="Montserrat" w:cstheme="majorBidi"/>
      <w:b/>
      <w:sz w:val="24"/>
      <w:szCs w:val="32"/>
    </w:rPr>
  </w:style>
  <w:style w:type="paragraph" w:styleId="Ttulo3">
    <w:name w:val="heading 3"/>
    <w:basedOn w:val="Normal"/>
    <w:next w:val="Normal"/>
    <w:link w:val="Ttulo3Car"/>
    <w:uiPriority w:val="9"/>
    <w:semiHidden/>
    <w:unhideWhenUsed/>
    <w:qFormat/>
    <w:rsid w:val="00020BB8"/>
    <w:pPr>
      <w:keepNext/>
      <w:keepLines/>
      <w:spacing w:before="40" w:after="0" w:line="240" w:lineRule="auto"/>
      <w:outlineLvl w:val="2"/>
    </w:pPr>
    <w:rPr>
      <w:rFonts w:asciiTheme="majorHAnsi" w:eastAsiaTheme="majorEastAsia" w:hAnsiTheme="majorHAnsi" w:cstheme="majorBidi"/>
      <w:color w:val="032348" w:themeColor="accent1" w:themeShade="BF"/>
      <w:sz w:val="28"/>
      <w:szCs w:val="28"/>
    </w:rPr>
  </w:style>
  <w:style w:type="paragraph" w:styleId="Ttulo4">
    <w:name w:val="heading 4"/>
    <w:basedOn w:val="Normal"/>
    <w:next w:val="Normal"/>
    <w:link w:val="Ttulo4Car"/>
    <w:uiPriority w:val="9"/>
    <w:semiHidden/>
    <w:unhideWhenUsed/>
    <w:qFormat/>
    <w:rsid w:val="00020BB8"/>
    <w:pPr>
      <w:keepNext/>
      <w:keepLines/>
      <w:spacing w:before="40" w:after="0"/>
      <w:outlineLvl w:val="3"/>
    </w:pPr>
    <w:rPr>
      <w:rFonts w:asciiTheme="majorHAnsi" w:eastAsiaTheme="majorEastAsia" w:hAnsiTheme="majorHAnsi" w:cstheme="majorBidi"/>
      <w:color w:val="032348" w:themeColor="accent1" w:themeShade="BF"/>
      <w:sz w:val="24"/>
      <w:szCs w:val="24"/>
    </w:rPr>
  </w:style>
  <w:style w:type="paragraph" w:styleId="Ttulo5">
    <w:name w:val="heading 5"/>
    <w:basedOn w:val="Normal"/>
    <w:next w:val="Normal"/>
    <w:link w:val="Ttulo5Car"/>
    <w:uiPriority w:val="9"/>
    <w:semiHidden/>
    <w:unhideWhenUsed/>
    <w:qFormat/>
    <w:rsid w:val="00020BB8"/>
    <w:pPr>
      <w:keepNext/>
      <w:keepLines/>
      <w:spacing w:before="40" w:after="0"/>
      <w:outlineLvl w:val="4"/>
    </w:pPr>
    <w:rPr>
      <w:rFonts w:asciiTheme="majorHAnsi" w:eastAsiaTheme="majorEastAsia" w:hAnsiTheme="majorHAnsi" w:cstheme="majorBidi"/>
      <w:caps/>
      <w:color w:val="032348" w:themeColor="accent1" w:themeShade="BF"/>
    </w:rPr>
  </w:style>
  <w:style w:type="paragraph" w:styleId="Ttulo6">
    <w:name w:val="heading 6"/>
    <w:basedOn w:val="Normal"/>
    <w:next w:val="Normal"/>
    <w:link w:val="Ttulo6Car"/>
    <w:uiPriority w:val="9"/>
    <w:semiHidden/>
    <w:unhideWhenUsed/>
    <w:qFormat/>
    <w:rsid w:val="00020BB8"/>
    <w:pPr>
      <w:keepNext/>
      <w:keepLines/>
      <w:spacing w:before="40" w:after="0"/>
      <w:outlineLvl w:val="5"/>
    </w:pPr>
    <w:rPr>
      <w:rFonts w:asciiTheme="majorHAnsi" w:eastAsiaTheme="majorEastAsia" w:hAnsiTheme="majorHAnsi" w:cstheme="majorBidi"/>
      <w:i/>
      <w:iCs/>
      <w:caps/>
      <w:color w:val="021730" w:themeColor="accent1" w:themeShade="80"/>
    </w:rPr>
  </w:style>
  <w:style w:type="paragraph" w:styleId="Ttulo7">
    <w:name w:val="heading 7"/>
    <w:basedOn w:val="Normal"/>
    <w:next w:val="Normal"/>
    <w:link w:val="Ttulo7Car"/>
    <w:uiPriority w:val="9"/>
    <w:semiHidden/>
    <w:unhideWhenUsed/>
    <w:qFormat/>
    <w:rsid w:val="00020BB8"/>
    <w:pPr>
      <w:keepNext/>
      <w:keepLines/>
      <w:spacing w:before="40" w:after="0"/>
      <w:outlineLvl w:val="6"/>
    </w:pPr>
    <w:rPr>
      <w:rFonts w:asciiTheme="majorHAnsi" w:eastAsiaTheme="majorEastAsia" w:hAnsiTheme="majorHAnsi" w:cstheme="majorBidi"/>
      <w:b/>
      <w:bCs/>
      <w:color w:val="021730" w:themeColor="accent1" w:themeShade="80"/>
    </w:rPr>
  </w:style>
  <w:style w:type="paragraph" w:styleId="Ttulo8">
    <w:name w:val="heading 8"/>
    <w:basedOn w:val="Normal"/>
    <w:next w:val="Normal"/>
    <w:link w:val="Ttulo8Car"/>
    <w:uiPriority w:val="9"/>
    <w:semiHidden/>
    <w:unhideWhenUsed/>
    <w:qFormat/>
    <w:rsid w:val="00020BB8"/>
    <w:pPr>
      <w:keepNext/>
      <w:keepLines/>
      <w:spacing w:before="40" w:after="0"/>
      <w:outlineLvl w:val="7"/>
    </w:pPr>
    <w:rPr>
      <w:rFonts w:asciiTheme="majorHAnsi" w:eastAsiaTheme="majorEastAsia" w:hAnsiTheme="majorHAnsi" w:cstheme="majorBidi"/>
      <w:b/>
      <w:bCs/>
      <w:i/>
      <w:iCs/>
      <w:color w:val="021730" w:themeColor="accent1" w:themeShade="80"/>
    </w:rPr>
  </w:style>
  <w:style w:type="paragraph" w:styleId="Ttulo9">
    <w:name w:val="heading 9"/>
    <w:basedOn w:val="Normal"/>
    <w:next w:val="Normal"/>
    <w:link w:val="Ttulo9Car"/>
    <w:uiPriority w:val="9"/>
    <w:semiHidden/>
    <w:unhideWhenUsed/>
    <w:qFormat/>
    <w:rsid w:val="00020BB8"/>
    <w:pPr>
      <w:keepNext/>
      <w:keepLines/>
      <w:spacing w:before="40" w:after="0"/>
      <w:outlineLvl w:val="8"/>
    </w:pPr>
    <w:rPr>
      <w:rFonts w:asciiTheme="majorHAnsi" w:eastAsiaTheme="majorEastAsia" w:hAnsiTheme="majorHAnsi" w:cstheme="majorBidi"/>
      <w:i/>
      <w:iCs/>
      <w:color w:val="021730"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2D18"/>
    <w:rPr>
      <w:rFonts w:ascii="Montserrat" w:eastAsiaTheme="majorEastAsia" w:hAnsi="Montserrat" w:cstheme="majorBidi"/>
      <w:b/>
      <w:sz w:val="28"/>
      <w:szCs w:val="36"/>
    </w:rPr>
  </w:style>
  <w:style w:type="character" w:customStyle="1" w:styleId="Ttulo2Car">
    <w:name w:val="Título 2 Car"/>
    <w:basedOn w:val="Fuentedeprrafopredeter"/>
    <w:link w:val="Ttulo2"/>
    <w:uiPriority w:val="9"/>
    <w:rsid w:val="00862D18"/>
    <w:rPr>
      <w:rFonts w:ascii="Montserrat" w:eastAsiaTheme="majorEastAsia" w:hAnsi="Montserrat" w:cstheme="majorBidi"/>
      <w:b/>
      <w:sz w:val="24"/>
      <w:szCs w:val="32"/>
    </w:rPr>
  </w:style>
  <w:style w:type="character" w:customStyle="1" w:styleId="Ttulo3Car">
    <w:name w:val="Título 3 Car"/>
    <w:basedOn w:val="Fuentedeprrafopredeter"/>
    <w:link w:val="Ttulo3"/>
    <w:uiPriority w:val="9"/>
    <w:semiHidden/>
    <w:rsid w:val="00020BB8"/>
    <w:rPr>
      <w:rFonts w:asciiTheme="majorHAnsi" w:eastAsiaTheme="majorEastAsia" w:hAnsiTheme="majorHAnsi" w:cstheme="majorBidi"/>
      <w:color w:val="032348" w:themeColor="accent1" w:themeShade="BF"/>
      <w:sz w:val="28"/>
      <w:szCs w:val="28"/>
    </w:rPr>
  </w:style>
  <w:style w:type="character" w:customStyle="1" w:styleId="Ttulo4Car">
    <w:name w:val="Título 4 Car"/>
    <w:basedOn w:val="Fuentedeprrafopredeter"/>
    <w:link w:val="Ttulo4"/>
    <w:uiPriority w:val="9"/>
    <w:semiHidden/>
    <w:rsid w:val="00020BB8"/>
    <w:rPr>
      <w:rFonts w:asciiTheme="majorHAnsi" w:eastAsiaTheme="majorEastAsia" w:hAnsiTheme="majorHAnsi" w:cstheme="majorBidi"/>
      <w:color w:val="032348" w:themeColor="accent1" w:themeShade="BF"/>
      <w:sz w:val="24"/>
      <w:szCs w:val="24"/>
    </w:rPr>
  </w:style>
  <w:style w:type="character" w:customStyle="1" w:styleId="Ttulo5Car">
    <w:name w:val="Título 5 Car"/>
    <w:basedOn w:val="Fuentedeprrafopredeter"/>
    <w:link w:val="Ttulo5"/>
    <w:uiPriority w:val="9"/>
    <w:semiHidden/>
    <w:rsid w:val="00020BB8"/>
    <w:rPr>
      <w:rFonts w:asciiTheme="majorHAnsi" w:eastAsiaTheme="majorEastAsia" w:hAnsiTheme="majorHAnsi" w:cstheme="majorBidi"/>
      <w:caps/>
      <w:color w:val="032348" w:themeColor="accent1" w:themeShade="BF"/>
    </w:rPr>
  </w:style>
  <w:style w:type="character" w:customStyle="1" w:styleId="Ttulo6Car">
    <w:name w:val="Título 6 Car"/>
    <w:basedOn w:val="Fuentedeprrafopredeter"/>
    <w:link w:val="Ttulo6"/>
    <w:uiPriority w:val="9"/>
    <w:semiHidden/>
    <w:rsid w:val="00020BB8"/>
    <w:rPr>
      <w:rFonts w:asciiTheme="majorHAnsi" w:eastAsiaTheme="majorEastAsia" w:hAnsiTheme="majorHAnsi" w:cstheme="majorBidi"/>
      <w:i/>
      <w:iCs/>
      <w:caps/>
      <w:color w:val="021730" w:themeColor="accent1" w:themeShade="80"/>
    </w:rPr>
  </w:style>
  <w:style w:type="character" w:customStyle="1" w:styleId="Ttulo7Car">
    <w:name w:val="Título 7 Car"/>
    <w:basedOn w:val="Fuentedeprrafopredeter"/>
    <w:link w:val="Ttulo7"/>
    <w:uiPriority w:val="9"/>
    <w:semiHidden/>
    <w:rsid w:val="00020BB8"/>
    <w:rPr>
      <w:rFonts w:asciiTheme="majorHAnsi" w:eastAsiaTheme="majorEastAsia" w:hAnsiTheme="majorHAnsi" w:cstheme="majorBidi"/>
      <w:b/>
      <w:bCs/>
      <w:color w:val="021730" w:themeColor="accent1" w:themeShade="80"/>
    </w:rPr>
  </w:style>
  <w:style w:type="character" w:customStyle="1" w:styleId="Ttulo8Car">
    <w:name w:val="Título 8 Car"/>
    <w:basedOn w:val="Fuentedeprrafopredeter"/>
    <w:link w:val="Ttulo8"/>
    <w:uiPriority w:val="9"/>
    <w:semiHidden/>
    <w:rsid w:val="00020BB8"/>
    <w:rPr>
      <w:rFonts w:asciiTheme="majorHAnsi" w:eastAsiaTheme="majorEastAsia" w:hAnsiTheme="majorHAnsi" w:cstheme="majorBidi"/>
      <w:b/>
      <w:bCs/>
      <w:i/>
      <w:iCs/>
      <w:color w:val="021730" w:themeColor="accent1" w:themeShade="80"/>
    </w:rPr>
  </w:style>
  <w:style w:type="character" w:customStyle="1" w:styleId="Ttulo9Car">
    <w:name w:val="Título 9 Car"/>
    <w:basedOn w:val="Fuentedeprrafopredeter"/>
    <w:link w:val="Ttulo9"/>
    <w:uiPriority w:val="9"/>
    <w:semiHidden/>
    <w:rsid w:val="00020BB8"/>
    <w:rPr>
      <w:rFonts w:asciiTheme="majorHAnsi" w:eastAsiaTheme="majorEastAsia" w:hAnsiTheme="majorHAnsi" w:cstheme="majorBidi"/>
      <w:i/>
      <w:iCs/>
      <w:color w:val="021730" w:themeColor="accent1" w:themeShade="80"/>
    </w:rPr>
  </w:style>
  <w:style w:type="paragraph" w:styleId="Descripcin">
    <w:name w:val="caption"/>
    <w:basedOn w:val="Normal"/>
    <w:next w:val="Normal"/>
    <w:uiPriority w:val="35"/>
    <w:semiHidden/>
    <w:unhideWhenUsed/>
    <w:qFormat/>
    <w:rsid w:val="00020BB8"/>
    <w:pPr>
      <w:spacing w:line="240" w:lineRule="auto"/>
    </w:pPr>
    <w:rPr>
      <w:b/>
      <w:bCs/>
      <w:smallCaps/>
      <w:color w:val="146194" w:themeColor="text2"/>
    </w:rPr>
  </w:style>
  <w:style w:type="paragraph" w:styleId="Ttulo">
    <w:name w:val="Title"/>
    <w:basedOn w:val="Normal"/>
    <w:next w:val="Normal"/>
    <w:link w:val="TtuloCar"/>
    <w:uiPriority w:val="10"/>
    <w:qFormat/>
    <w:rsid w:val="00020BB8"/>
    <w:pPr>
      <w:spacing w:after="0" w:line="204" w:lineRule="auto"/>
      <w:contextualSpacing/>
    </w:pPr>
    <w:rPr>
      <w:rFonts w:asciiTheme="majorHAnsi" w:eastAsiaTheme="majorEastAsia" w:hAnsiTheme="majorHAnsi" w:cstheme="majorBidi"/>
      <w:caps/>
      <w:color w:val="146194" w:themeColor="text2"/>
      <w:spacing w:val="-15"/>
      <w:sz w:val="72"/>
      <w:szCs w:val="72"/>
    </w:rPr>
  </w:style>
  <w:style w:type="character" w:customStyle="1" w:styleId="TtuloCar">
    <w:name w:val="Título Car"/>
    <w:basedOn w:val="Fuentedeprrafopredeter"/>
    <w:link w:val="Ttulo"/>
    <w:uiPriority w:val="10"/>
    <w:rsid w:val="00020BB8"/>
    <w:rPr>
      <w:rFonts w:asciiTheme="majorHAnsi" w:eastAsiaTheme="majorEastAsia" w:hAnsiTheme="majorHAnsi" w:cstheme="majorBidi"/>
      <w:caps/>
      <w:color w:val="146194" w:themeColor="text2"/>
      <w:spacing w:val="-15"/>
      <w:sz w:val="72"/>
      <w:szCs w:val="72"/>
    </w:rPr>
  </w:style>
  <w:style w:type="paragraph" w:styleId="Subttulo">
    <w:name w:val="Subtitle"/>
    <w:basedOn w:val="Normal"/>
    <w:next w:val="Normal"/>
    <w:link w:val="SubttuloCar"/>
    <w:uiPriority w:val="11"/>
    <w:qFormat/>
    <w:rsid w:val="00020BB8"/>
    <w:pPr>
      <w:numPr>
        <w:ilvl w:val="1"/>
      </w:numPr>
      <w:spacing w:after="240" w:line="240" w:lineRule="auto"/>
    </w:pPr>
    <w:rPr>
      <w:rFonts w:asciiTheme="majorHAnsi" w:eastAsiaTheme="majorEastAsia" w:hAnsiTheme="majorHAnsi" w:cstheme="majorBidi"/>
      <w:color w:val="052F61" w:themeColor="accent1"/>
      <w:sz w:val="28"/>
      <w:szCs w:val="28"/>
    </w:rPr>
  </w:style>
  <w:style w:type="character" w:customStyle="1" w:styleId="SubttuloCar">
    <w:name w:val="Subtítulo Car"/>
    <w:basedOn w:val="Fuentedeprrafopredeter"/>
    <w:link w:val="Subttulo"/>
    <w:uiPriority w:val="11"/>
    <w:rsid w:val="00020BB8"/>
    <w:rPr>
      <w:rFonts w:asciiTheme="majorHAnsi" w:eastAsiaTheme="majorEastAsia" w:hAnsiTheme="majorHAnsi" w:cstheme="majorBidi"/>
      <w:color w:val="052F61" w:themeColor="accent1"/>
      <w:sz w:val="28"/>
      <w:szCs w:val="28"/>
    </w:rPr>
  </w:style>
  <w:style w:type="character" w:styleId="Fuerte">
    <w:name w:val="Strong"/>
    <w:basedOn w:val="Fuentedeprrafopredeter"/>
    <w:uiPriority w:val="22"/>
    <w:qFormat/>
    <w:rsid w:val="00020BB8"/>
    <w:rPr>
      <w:b/>
      <w:bCs/>
    </w:rPr>
  </w:style>
  <w:style w:type="character" w:styleId="nfasis">
    <w:name w:val="Emphasis"/>
    <w:basedOn w:val="Fuentedeprrafopredeter"/>
    <w:uiPriority w:val="20"/>
    <w:qFormat/>
    <w:rsid w:val="00020BB8"/>
    <w:rPr>
      <w:i/>
      <w:iCs/>
    </w:rPr>
  </w:style>
  <w:style w:type="paragraph" w:styleId="Sinespaciado">
    <w:name w:val="No Spacing"/>
    <w:uiPriority w:val="1"/>
    <w:qFormat/>
    <w:rsid w:val="00020BB8"/>
    <w:pPr>
      <w:spacing w:after="0" w:line="240" w:lineRule="auto"/>
    </w:pPr>
  </w:style>
  <w:style w:type="paragraph" w:styleId="Cita">
    <w:name w:val="Quote"/>
    <w:basedOn w:val="Normal"/>
    <w:next w:val="Normal"/>
    <w:link w:val="CitaCar"/>
    <w:uiPriority w:val="29"/>
    <w:qFormat/>
    <w:rsid w:val="00020BB8"/>
    <w:pPr>
      <w:spacing w:before="120" w:after="120"/>
      <w:ind w:left="720"/>
    </w:pPr>
    <w:rPr>
      <w:color w:val="146194" w:themeColor="text2"/>
      <w:sz w:val="24"/>
      <w:szCs w:val="24"/>
    </w:rPr>
  </w:style>
  <w:style w:type="character" w:customStyle="1" w:styleId="CitaCar">
    <w:name w:val="Cita Car"/>
    <w:basedOn w:val="Fuentedeprrafopredeter"/>
    <w:link w:val="Cita"/>
    <w:uiPriority w:val="29"/>
    <w:rsid w:val="00020BB8"/>
    <w:rPr>
      <w:color w:val="146194" w:themeColor="text2"/>
      <w:sz w:val="24"/>
      <w:szCs w:val="24"/>
    </w:rPr>
  </w:style>
  <w:style w:type="paragraph" w:styleId="Citadestacada">
    <w:name w:val="Intense Quote"/>
    <w:basedOn w:val="Normal"/>
    <w:next w:val="Normal"/>
    <w:link w:val="CitadestacadaCar"/>
    <w:uiPriority w:val="30"/>
    <w:qFormat/>
    <w:rsid w:val="00020BB8"/>
    <w:pPr>
      <w:spacing w:before="100" w:beforeAutospacing="1" w:after="240" w:line="240" w:lineRule="auto"/>
      <w:ind w:left="720"/>
      <w:jc w:val="center"/>
    </w:pPr>
    <w:rPr>
      <w:rFonts w:asciiTheme="majorHAnsi" w:eastAsiaTheme="majorEastAsia" w:hAnsiTheme="majorHAnsi" w:cstheme="majorBidi"/>
      <w:color w:val="146194" w:themeColor="text2"/>
      <w:spacing w:val="-6"/>
      <w:sz w:val="32"/>
      <w:szCs w:val="32"/>
    </w:rPr>
  </w:style>
  <w:style w:type="character" w:customStyle="1" w:styleId="CitadestacadaCar">
    <w:name w:val="Cita destacada Car"/>
    <w:basedOn w:val="Fuentedeprrafopredeter"/>
    <w:link w:val="Citadestacada"/>
    <w:uiPriority w:val="30"/>
    <w:rsid w:val="00020BB8"/>
    <w:rPr>
      <w:rFonts w:asciiTheme="majorHAnsi" w:eastAsiaTheme="majorEastAsia" w:hAnsiTheme="majorHAnsi" w:cstheme="majorBidi"/>
      <w:color w:val="146194" w:themeColor="text2"/>
      <w:spacing w:val="-6"/>
      <w:sz w:val="32"/>
      <w:szCs w:val="32"/>
    </w:rPr>
  </w:style>
  <w:style w:type="character" w:styleId="nfasissutil">
    <w:name w:val="Subtle Emphasis"/>
    <w:basedOn w:val="Fuentedeprrafopredeter"/>
    <w:uiPriority w:val="19"/>
    <w:qFormat/>
    <w:rsid w:val="00020BB8"/>
    <w:rPr>
      <w:i/>
      <w:iCs/>
      <w:color w:val="595959" w:themeColor="text1" w:themeTint="A6"/>
    </w:rPr>
  </w:style>
  <w:style w:type="character" w:styleId="nfasisintenso">
    <w:name w:val="Intense Emphasis"/>
    <w:basedOn w:val="Fuentedeprrafopredeter"/>
    <w:uiPriority w:val="21"/>
    <w:qFormat/>
    <w:rsid w:val="00020BB8"/>
    <w:rPr>
      <w:b/>
      <w:bCs/>
      <w:i/>
      <w:iCs/>
    </w:rPr>
  </w:style>
  <w:style w:type="character" w:styleId="Referenciasutil">
    <w:name w:val="Subtle Reference"/>
    <w:basedOn w:val="Fuentedeprrafopredeter"/>
    <w:uiPriority w:val="31"/>
    <w:qFormat/>
    <w:rsid w:val="00020BB8"/>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020BB8"/>
    <w:rPr>
      <w:b/>
      <w:bCs/>
      <w:smallCaps/>
      <w:color w:val="146194" w:themeColor="text2"/>
      <w:u w:val="single"/>
    </w:rPr>
  </w:style>
  <w:style w:type="character" w:styleId="Ttulodellibro">
    <w:name w:val="Book Title"/>
    <w:basedOn w:val="Fuentedeprrafopredeter"/>
    <w:uiPriority w:val="33"/>
    <w:qFormat/>
    <w:rsid w:val="00020BB8"/>
    <w:rPr>
      <w:b/>
      <w:bCs/>
      <w:smallCaps/>
      <w:spacing w:val="10"/>
    </w:rPr>
  </w:style>
  <w:style w:type="paragraph" w:styleId="TtuloTDC">
    <w:name w:val="TOC Heading"/>
    <w:basedOn w:val="Ttulo1"/>
    <w:next w:val="Normal"/>
    <w:uiPriority w:val="39"/>
    <w:unhideWhenUsed/>
    <w:qFormat/>
    <w:rsid w:val="00020BB8"/>
    <w:pPr>
      <w:outlineLvl w:val="9"/>
    </w:pPr>
  </w:style>
  <w:style w:type="paragraph" w:styleId="Encabezado">
    <w:name w:val="header"/>
    <w:basedOn w:val="Normal"/>
    <w:link w:val="EncabezadoCar"/>
    <w:uiPriority w:val="99"/>
    <w:unhideWhenUsed/>
    <w:rsid w:val="00020B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0BB8"/>
  </w:style>
  <w:style w:type="paragraph" w:styleId="Piedepgina">
    <w:name w:val="footer"/>
    <w:basedOn w:val="Normal"/>
    <w:link w:val="PiedepginaCar"/>
    <w:uiPriority w:val="99"/>
    <w:unhideWhenUsed/>
    <w:rsid w:val="00020B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0BB8"/>
  </w:style>
  <w:style w:type="paragraph" w:customStyle="1" w:styleId="MdSpace">
    <w:name w:val="MdSpace"/>
    <w:qFormat/>
    <w:rsid w:val="00B61F44"/>
    <w:pPr>
      <w:spacing w:after="0" w:line="240" w:lineRule="auto"/>
    </w:pPr>
    <w:rPr>
      <w:rFonts w:ascii="Times New Roman" w:eastAsia="Times New Roman" w:hAnsi="Times New Roman" w:cs="Times New Roman"/>
      <w:sz w:val="12"/>
      <w:szCs w:val="12"/>
      <w:lang w:eastAsia="es-CO"/>
    </w:rPr>
  </w:style>
  <w:style w:type="paragraph" w:customStyle="1" w:styleId="MdHr">
    <w:name w:val="MdHr"/>
    <w:qFormat/>
    <w:rsid w:val="00B61F44"/>
    <w:pPr>
      <w:pBdr>
        <w:bottom w:val="single" w:sz="1" w:space="1" w:color="A5A5A5"/>
      </w:pBdr>
      <w:spacing w:before="240" w:after="240" w:line="240" w:lineRule="auto"/>
    </w:pPr>
    <w:rPr>
      <w:rFonts w:ascii="Times New Roman" w:eastAsia="Times New Roman" w:hAnsi="Times New Roman" w:cs="Times New Roman"/>
      <w:sz w:val="24"/>
      <w:szCs w:val="24"/>
      <w:lang w:eastAsia="es-CO"/>
    </w:rPr>
  </w:style>
  <w:style w:type="paragraph" w:customStyle="1" w:styleId="MdBlockquote">
    <w:name w:val="MdBlockquote"/>
    <w:qFormat/>
    <w:rsid w:val="00B61F44"/>
    <w:pPr>
      <w:pBdr>
        <w:left w:val="single" w:sz="20" w:space="12" w:color="A5A5A5"/>
      </w:pBdr>
      <w:spacing w:before="200" w:after="200" w:line="240" w:lineRule="auto"/>
      <w:ind w:left="360"/>
    </w:pPr>
    <w:rPr>
      <w:rFonts w:ascii="Times New Roman" w:eastAsia="Times New Roman" w:hAnsi="Times New Roman" w:cs="Times New Roman"/>
      <w:i/>
      <w:iCs/>
      <w:color w:val="666666"/>
      <w:sz w:val="24"/>
      <w:szCs w:val="24"/>
      <w:lang w:eastAsia="es-CO"/>
    </w:rPr>
  </w:style>
  <w:style w:type="paragraph" w:customStyle="1" w:styleId="MdParagraph">
    <w:name w:val="MdParagraph"/>
    <w:qFormat/>
    <w:rsid w:val="00B61F44"/>
    <w:pPr>
      <w:spacing w:before="120" w:after="120" w:line="240" w:lineRule="auto"/>
    </w:pPr>
    <w:rPr>
      <w:rFonts w:ascii="Times New Roman" w:eastAsia="Times New Roman" w:hAnsi="Times New Roman" w:cs="Times New Roman"/>
      <w:sz w:val="24"/>
      <w:szCs w:val="24"/>
      <w:lang w:eastAsia="es-CO"/>
    </w:rPr>
  </w:style>
  <w:style w:type="paragraph" w:customStyle="1" w:styleId="MdListItem">
    <w:name w:val="MdListItem"/>
    <w:qFormat/>
    <w:rsid w:val="00B61F44"/>
    <w:pPr>
      <w:spacing w:before="60" w:after="60" w:line="240" w:lineRule="auto"/>
      <w:ind w:left="720" w:hanging="360"/>
    </w:pPr>
    <w:rPr>
      <w:rFonts w:ascii="Times New Roman" w:eastAsia="Times New Roman" w:hAnsi="Times New Roman" w:cs="Times New Roman"/>
      <w:sz w:val="24"/>
      <w:szCs w:val="24"/>
      <w:lang w:eastAsia="es-CO"/>
    </w:rPr>
  </w:style>
  <w:style w:type="paragraph" w:customStyle="1" w:styleId="MdTableHeader">
    <w:name w:val="MdTableHeader"/>
    <w:qFormat/>
    <w:rsid w:val="00B61F44"/>
    <w:pPr>
      <w:spacing w:before="60" w:after="60" w:line="240" w:lineRule="auto"/>
    </w:pPr>
    <w:rPr>
      <w:rFonts w:ascii="Times New Roman" w:eastAsia="Times New Roman" w:hAnsi="Times New Roman" w:cs="Times New Roman"/>
      <w:b/>
      <w:bCs/>
      <w:lang w:eastAsia="es-CO"/>
    </w:rPr>
  </w:style>
  <w:style w:type="paragraph" w:customStyle="1" w:styleId="MdTableCell">
    <w:name w:val="MdTableCell"/>
    <w:qFormat/>
    <w:rsid w:val="00B61F44"/>
    <w:pPr>
      <w:spacing w:before="40" w:after="40" w:line="240" w:lineRule="auto"/>
    </w:pPr>
    <w:rPr>
      <w:rFonts w:ascii="Times New Roman" w:eastAsia="Times New Roman" w:hAnsi="Times New Roman" w:cs="Times New Roman"/>
      <w:sz w:val="20"/>
      <w:szCs w:val="20"/>
      <w:lang w:eastAsia="es-CO"/>
    </w:rPr>
  </w:style>
  <w:style w:type="paragraph" w:customStyle="1" w:styleId="MdHeading1">
    <w:name w:val="MdHeading1"/>
    <w:qFormat/>
    <w:rsid w:val="00B61F44"/>
    <w:pPr>
      <w:keepNext/>
      <w:spacing w:before="480" w:after="240" w:line="240" w:lineRule="auto"/>
      <w:outlineLvl w:val="0"/>
    </w:pPr>
    <w:rPr>
      <w:rFonts w:ascii="Times New Roman" w:eastAsia="Times New Roman" w:hAnsi="Times New Roman" w:cs="Times New Roman"/>
      <w:b/>
      <w:bCs/>
      <w:sz w:val="36"/>
      <w:szCs w:val="36"/>
      <w:lang w:eastAsia="es-CO"/>
    </w:rPr>
  </w:style>
  <w:style w:type="paragraph" w:customStyle="1" w:styleId="MdHeading2">
    <w:name w:val="MdHeading2"/>
    <w:qFormat/>
    <w:rsid w:val="00B61F44"/>
    <w:pPr>
      <w:keepNext/>
      <w:spacing w:before="400" w:after="200" w:line="240" w:lineRule="auto"/>
      <w:outlineLvl w:val="1"/>
    </w:pPr>
    <w:rPr>
      <w:rFonts w:ascii="Times New Roman" w:eastAsia="Times New Roman" w:hAnsi="Times New Roman" w:cs="Times New Roman"/>
      <w:b/>
      <w:bCs/>
      <w:sz w:val="32"/>
      <w:szCs w:val="32"/>
      <w:lang w:eastAsia="es-CO"/>
    </w:rPr>
  </w:style>
  <w:style w:type="paragraph" w:customStyle="1" w:styleId="MdHeading3">
    <w:name w:val="MdHeading3"/>
    <w:qFormat/>
    <w:rsid w:val="00B61F44"/>
    <w:pPr>
      <w:keepNext/>
      <w:spacing w:before="320" w:line="240" w:lineRule="auto"/>
      <w:outlineLvl w:val="2"/>
    </w:pPr>
    <w:rPr>
      <w:rFonts w:ascii="Times New Roman" w:eastAsia="Times New Roman" w:hAnsi="Times New Roman" w:cs="Times New Roman"/>
      <w:b/>
      <w:bCs/>
      <w:sz w:val="28"/>
      <w:szCs w:val="28"/>
      <w:lang w:eastAsia="es-CO"/>
    </w:rPr>
  </w:style>
  <w:style w:type="character" w:customStyle="1" w:styleId="MdStrong">
    <w:name w:val="MdStrong"/>
    <w:uiPriority w:val="99"/>
    <w:unhideWhenUsed/>
    <w:qFormat/>
    <w:rsid w:val="00B61F44"/>
    <w:rPr>
      <w:b/>
      <w:bCs/>
    </w:rPr>
  </w:style>
  <w:style w:type="character" w:customStyle="1" w:styleId="MdEm">
    <w:name w:val="MdEm"/>
    <w:uiPriority w:val="99"/>
    <w:unhideWhenUsed/>
    <w:qFormat/>
    <w:rsid w:val="00B61F44"/>
    <w:rPr>
      <w:i/>
      <w:iCs/>
    </w:rPr>
  </w:style>
  <w:style w:type="character" w:customStyle="1" w:styleId="MdBr">
    <w:name w:val="MdBr"/>
    <w:uiPriority w:val="99"/>
    <w:unhideWhenUsed/>
    <w:qFormat/>
    <w:rsid w:val="00B61F44"/>
  </w:style>
  <w:style w:type="table" w:styleId="Tablaconcuadrcula1clara-nfasis1">
    <w:name w:val="Grid Table 1 Light Accent 1"/>
    <w:basedOn w:val="Tablanormal"/>
    <w:uiPriority w:val="46"/>
    <w:rsid w:val="00B61F44"/>
    <w:pPr>
      <w:spacing w:after="0" w:line="240" w:lineRule="auto"/>
    </w:pPr>
    <w:tblPr>
      <w:tblStyleRowBandSize w:val="1"/>
      <w:tblStyleColBandSize w:val="1"/>
      <w:tblBorders>
        <w:top w:val="single" w:sz="4" w:space="0" w:color="63A6F7" w:themeColor="accent1" w:themeTint="66"/>
        <w:left w:val="single" w:sz="4" w:space="0" w:color="63A6F7" w:themeColor="accent1" w:themeTint="66"/>
        <w:bottom w:val="single" w:sz="4" w:space="0" w:color="63A6F7" w:themeColor="accent1" w:themeTint="66"/>
        <w:right w:val="single" w:sz="4" w:space="0" w:color="63A6F7" w:themeColor="accent1" w:themeTint="66"/>
        <w:insideH w:val="single" w:sz="4" w:space="0" w:color="63A6F7" w:themeColor="accent1" w:themeTint="66"/>
        <w:insideV w:val="single" w:sz="4" w:space="0" w:color="63A6F7" w:themeColor="accent1" w:themeTint="66"/>
      </w:tblBorders>
    </w:tblPr>
    <w:tblStylePr w:type="firstRow">
      <w:rPr>
        <w:b/>
        <w:bCs/>
      </w:rPr>
      <w:tblPr/>
      <w:tcPr>
        <w:tcBorders>
          <w:bottom w:val="single" w:sz="12" w:space="0" w:color="167AF3" w:themeColor="accent1" w:themeTint="99"/>
        </w:tcBorders>
      </w:tcPr>
    </w:tblStylePr>
    <w:tblStylePr w:type="lastRow">
      <w:rPr>
        <w:b/>
        <w:bCs/>
      </w:rPr>
      <w:tblPr/>
      <w:tcPr>
        <w:tcBorders>
          <w:top w:val="double" w:sz="2" w:space="0" w:color="167AF3" w:themeColor="accent1" w:themeTint="99"/>
        </w:tcBorders>
      </w:tcPr>
    </w:tblStylePr>
    <w:tblStylePr w:type="firstCol">
      <w:rPr>
        <w:b/>
        <w:bCs/>
      </w:rPr>
    </w:tblStylePr>
    <w:tblStylePr w:type="lastCol">
      <w:rPr>
        <w:b/>
        <w:bCs/>
      </w:rPr>
    </w:tblStylePr>
  </w:style>
  <w:style w:type="paragraph" w:styleId="TDC1">
    <w:name w:val="toc 1"/>
    <w:basedOn w:val="Normal"/>
    <w:next w:val="Normal"/>
    <w:autoRedefine/>
    <w:uiPriority w:val="39"/>
    <w:unhideWhenUsed/>
    <w:rsid w:val="005435E4"/>
    <w:pPr>
      <w:spacing w:after="100"/>
    </w:pPr>
  </w:style>
  <w:style w:type="paragraph" w:styleId="TDC2">
    <w:name w:val="toc 2"/>
    <w:basedOn w:val="Normal"/>
    <w:next w:val="Normal"/>
    <w:autoRedefine/>
    <w:uiPriority w:val="39"/>
    <w:unhideWhenUsed/>
    <w:rsid w:val="005435E4"/>
    <w:pPr>
      <w:spacing w:after="100"/>
      <w:ind w:left="220"/>
    </w:pPr>
  </w:style>
  <w:style w:type="paragraph" w:styleId="TDC3">
    <w:name w:val="toc 3"/>
    <w:basedOn w:val="Normal"/>
    <w:next w:val="Normal"/>
    <w:autoRedefine/>
    <w:uiPriority w:val="39"/>
    <w:unhideWhenUsed/>
    <w:rsid w:val="005435E4"/>
    <w:pPr>
      <w:spacing w:after="100"/>
      <w:ind w:left="440"/>
    </w:pPr>
  </w:style>
  <w:style w:type="character" w:styleId="Hipervnculo">
    <w:name w:val="Hyperlink"/>
    <w:basedOn w:val="Fuentedeprrafopredeter"/>
    <w:uiPriority w:val="99"/>
    <w:unhideWhenUsed/>
    <w:rsid w:val="005435E4"/>
    <w:rPr>
      <w:color w:val="0D2E46" w:themeColor="hyperlink"/>
      <w:u w:val="single"/>
    </w:rPr>
  </w:style>
  <w:style w:type="character" w:styleId="Refdecomentario">
    <w:name w:val="annotation reference"/>
    <w:basedOn w:val="Fuentedeprrafopredeter"/>
    <w:uiPriority w:val="99"/>
    <w:semiHidden/>
    <w:unhideWhenUsed/>
    <w:rsid w:val="003258A9"/>
    <w:rPr>
      <w:sz w:val="16"/>
      <w:szCs w:val="16"/>
    </w:rPr>
  </w:style>
  <w:style w:type="paragraph" w:styleId="Textocomentario">
    <w:name w:val="annotation text"/>
    <w:basedOn w:val="Normal"/>
    <w:link w:val="TextocomentarioCar"/>
    <w:uiPriority w:val="99"/>
    <w:unhideWhenUsed/>
    <w:rsid w:val="003258A9"/>
    <w:pPr>
      <w:spacing w:line="240" w:lineRule="auto"/>
    </w:pPr>
    <w:rPr>
      <w:sz w:val="20"/>
      <w:szCs w:val="20"/>
    </w:rPr>
  </w:style>
  <w:style w:type="character" w:customStyle="1" w:styleId="TextocomentarioCar">
    <w:name w:val="Texto comentario Car"/>
    <w:basedOn w:val="Fuentedeprrafopredeter"/>
    <w:link w:val="Textocomentario"/>
    <w:uiPriority w:val="99"/>
    <w:rsid w:val="003258A9"/>
    <w:rPr>
      <w:sz w:val="20"/>
      <w:szCs w:val="20"/>
    </w:rPr>
  </w:style>
  <w:style w:type="paragraph" w:styleId="Asuntodelcomentario">
    <w:name w:val="annotation subject"/>
    <w:basedOn w:val="Textocomentario"/>
    <w:next w:val="Textocomentario"/>
    <w:link w:val="AsuntodelcomentarioCar"/>
    <w:uiPriority w:val="99"/>
    <w:semiHidden/>
    <w:unhideWhenUsed/>
    <w:rsid w:val="003258A9"/>
    <w:rPr>
      <w:b/>
      <w:bCs/>
    </w:rPr>
  </w:style>
  <w:style w:type="character" w:customStyle="1" w:styleId="AsuntodelcomentarioCar">
    <w:name w:val="Asunto del comentario Car"/>
    <w:basedOn w:val="TextocomentarioCar"/>
    <w:link w:val="Asuntodelcomentario"/>
    <w:uiPriority w:val="99"/>
    <w:semiHidden/>
    <w:rsid w:val="003258A9"/>
    <w:rPr>
      <w:b/>
      <w:bCs/>
      <w:sz w:val="20"/>
      <w:szCs w:val="20"/>
    </w:rPr>
  </w:style>
  <w:style w:type="paragraph" w:styleId="Prrafodelista">
    <w:name w:val="List Paragraph"/>
    <w:basedOn w:val="Normal"/>
    <w:uiPriority w:val="34"/>
    <w:qFormat/>
    <w:rsid w:val="008B00C4"/>
    <w:pPr>
      <w:ind w:left="720"/>
      <w:contextualSpacing/>
    </w:pPr>
  </w:style>
  <w:style w:type="table" w:styleId="Tablaconcuadrcula">
    <w:name w:val="Table Grid"/>
    <w:basedOn w:val="Tablanormal"/>
    <w:uiPriority w:val="39"/>
    <w:rsid w:val="00234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105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79C2FB-A21B-4840-ABFC-24D0BAB90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764</Words>
  <Characters>4443</Characters>
  <Application>Microsoft Office Word</Application>
  <DocSecurity>0</DocSecurity>
  <Lines>233</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Alcance funcional – MÉTRICA</dc:title>
  <dc:subject/>
  <dc:creator>IngNovaTics Consultores S.A.S.</dc:creator>
  <cp:keywords/>
  <dc:description/>
  <cp:lastModifiedBy>Marlon Javier Laborde Rivaldo</cp:lastModifiedBy>
  <cp:revision>93</cp:revision>
  <cp:lastPrinted>2026-03-02T15:37:00Z</cp:lastPrinted>
  <dcterms:created xsi:type="dcterms:W3CDTF">2026-04-30T02:44:00Z</dcterms:created>
  <dcterms:modified xsi:type="dcterms:W3CDTF">2026-08-24T16:17:00Z</dcterms:modified>
</cp:coreProperties>
</file>