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40"/>
      </w:pPr>
      <w:r/>
    </w:p>
    <w:p>
      <w:pPr>
        <w:spacing w:after="320"/>
        <w:jc w:val="center"/>
      </w:pPr>
      <w:r>
        <w:rPr>
          <w:rFonts w:ascii="Times New Roman" w:hAnsi="Times New Roman" w:eastAsia="黑体"/>
          <w:b/>
          <w:color w:val="17365D"/>
          <w:sz w:val="44"/>
        </w:rPr>
        <w:t>AURA-RSP 十三项安全与隐私实验说明</w:t>
      </w:r>
    </w:p>
    <w:p>
      <w:pPr>
        <w:spacing w:after="920"/>
        <w:jc w:val="center"/>
      </w:pPr>
      <w:r>
        <w:rPr>
          <w:rFonts w:ascii="Times New Roman" w:hAnsi="Times New Roman" w:eastAsia="宋体"/>
          <w:color w:val="667085"/>
          <w:sz w:val="28"/>
        </w:rPr>
        <w:t>基于 pySim/osmo-smdpp 集成原型的实验设计、结果与结论</w:t>
      </w:r>
    </w:p>
    <w:p>
      <w:pPr>
        <w:spacing w:after="160"/>
        <w:jc w:val="center"/>
      </w:pPr>
      <w:r>
        <w:rPr>
          <w:rFonts w:ascii="Times New Roman" w:hAnsi="Times New Roman" w:eastAsia="宋体"/>
          <w:color w:val="1F2937"/>
          <w:sz w:val="24"/>
        </w:rPr>
        <w:t>实验环境：Windows + WSL2 Ubuntu</w:t>
      </w:r>
    </w:p>
    <w:p>
      <w:pPr>
        <w:spacing w:after="160"/>
        <w:jc w:val="center"/>
      </w:pPr>
      <w:r>
        <w:rPr>
          <w:rFonts w:ascii="Times New Roman" w:hAnsi="Times New Roman" w:eastAsia="宋体"/>
          <w:color w:val="1F2937"/>
          <w:sz w:val="24"/>
        </w:rPr>
        <w:t>实现基础：Osmocom pySim/osmo-smdpp + software eUICC/LPA</w:t>
      </w:r>
    </w:p>
    <w:p>
      <w:pPr>
        <w:spacing w:before="1040"/>
        <w:jc w:val="center"/>
      </w:pPr>
      <w:r>
        <w:rPr>
          <w:rFonts w:ascii="Times New Roman" w:hAnsi="Times New Roman" w:eastAsia="宋体"/>
          <w:color w:val="667085"/>
          <w:sz w:val="24"/>
        </w:rPr>
        <w:t>2026年8月</w:t>
      </w:r>
    </w:p>
    <w:p>
      <w:r>
        <w:br w:type="page"/>
      </w:r>
    </w:p>
    <w:p>
      <w:pPr>
        <w:pStyle w:val="Heading1"/>
      </w:pPr>
      <w:r>
        <w:t>一、实验基础与证据口径</w:t>
      </w:r>
    </w:p>
    <w:p>
      <w:pPr>
        <w:keepLines w:val="0"/>
        <w:ind w:firstLine="480"/>
      </w:pPr>
      <w:r>
        <w:rPr>
          <w:rFonts w:ascii="Times New Roman" w:hAnsi="Times New Roman" w:eastAsia="宋体"/>
          <w:color w:val="1F2937"/>
          <w:sz w:val="24"/>
        </w:rPr>
        <w:t>本报告汇总当前十三项AURA-RSP安全与隐私实验。实验环境以Windows和WSL2 Ubuntu为宿主，协议实现以同一套Osmocom pySim/osmo-smdpp代码库中的Standard RSP baseline及集成版AURA-RSP为基础，设备侧采用software eUICC/LPA。所有实验均位于独立目录，使用固定随机种子，保存JSON、CSV或JSONL原始证据，并通过机器可检查断言判定结果。</w:t>
      </w:r>
    </w:p>
    <w:p>
      <w:pPr>
        <w:keepLines w:val="0"/>
        <w:ind w:firstLine="480"/>
      </w:pPr>
      <w:r>
        <w:rPr>
          <w:rFonts w:ascii="Times New Roman" w:hAnsi="Times New Roman" w:eastAsia="宋体"/>
          <w:color w:val="1F2937"/>
          <w:sz w:val="24"/>
        </w:rPr>
        <w:t>不同实验具有不同测量口径。端到端协议实验直接执行集成实现的认证、Binding、密钥协商、Profile交付或生命周期代码；大规模关联与日志实验使用生产字段语义和规范构造批量公开记录，但不把批量记录数量表述为同等数量的完整HTTPS下载。消融实现仅用于隔离关键安全机制的贡献，不属于AURA-RSP支持的运行模式。</w:t>
      </w:r>
    </w:p>
    <w:p>
      <w:pPr>
        <w:keepLines w:val="0"/>
        <w:ind w:firstLine="480"/>
      </w:pPr>
      <w:r>
        <w:rPr>
          <w:rFonts w:ascii="Times New Roman" w:hAnsi="Times New Roman" w:eastAsia="宋体"/>
          <w:color w:val="1F2937"/>
          <w:sz w:val="24"/>
        </w:rPr>
        <w:t>本报告中的PASS表示实际行为符合预先声明的机器断言，并不总意味着攻击被阻止。实验12C的成功关联是已声明的隐私边界；实验13的成功攻击是根信任或诚实端点失陷后的预期结果。Standard RSP已经具备的证书、事务和Bound Profile Package绑定能力只作为回归对照，不被描述为标准协议漏洞。</w:t>
      </w:r>
    </w:p>
    <w:p>
      <w:pPr>
        <w:pStyle w:val="Heading1"/>
      </w:pPr>
      <w:r>
        <w:t>二、实验结果总览</w:t>
      </w:r>
    </w:p>
    <w:tbl>
      <w:tblPr>
        <w:tblStyle w:val="TableGrid"/>
        <w:tblW w:type="dxa" w:w="900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720"/>
        <w:gridCol w:w="2680"/>
        <w:gridCol w:w="5600"/>
      </w:tblGrid>
      <w:tr>
        <w:trPr>
          <w:cantSplit/>
          <w:tblHeader w:val="true"/>
          <w:cantSplit/>
        </w:trPr>
        <w:tc>
          <w:tcPr>
            <w:tcW w:type="dxa" w:w="720"/>
            <w:tcMar>
              <w:top w:w="100" w:type="dxa"/>
              <w:start w:w="120" w:type="dxa"/>
              <w:bottom w:w="100" w:type="dxa"/>
              <w:end w:w="120" w:type="dxa"/>
            </w:tcMar>
            <w:shd w:fill="EAF1F8"/>
            <w:vAlign w:val="center"/>
          </w:tcPr>
          <w:p>
            <w:pPr>
              <w:spacing w:after="0"/>
              <w:ind w:firstLine="0"/>
              <w:jc w:val="center"/>
            </w:pPr>
            <w:r>
              <w:rPr>
                <w:rFonts w:ascii="Times New Roman" w:hAnsi="Times New Roman" w:eastAsia="黑体"/>
                <w:b/>
                <w:color w:val="17365D"/>
                <w:sz w:val="24"/>
              </w:rPr>
              <w:t>编号</w:t>
            </w:r>
          </w:p>
        </w:tc>
        <w:tc>
          <w:tcPr>
            <w:tcW w:type="dxa" w:w="2680"/>
            <w:tcMar>
              <w:top w:w="100" w:type="dxa"/>
              <w:start w:w="120" w:type="dxa"/>
              <w:bottom w:w="100" w:type="dxa"/>
              <w:end w:w="120" w:type="dxa"/>
            </w:tcMar>
            <w:shd w:fill="EAF1F8"/>
            <w:vAlign w:val="center"/>
          </w:tcPr>
          <w:p>
            <w:pPr>
              <w:spacing w:after="0"/>
              <w:ind w:firstLine="0"/>
              <w:jc w:val="center"/>
            </w:pPr>
            <w:r>
              <w:rPr>
                <w:rFonts w:ascii="Times New Roman" w:hAnsi="Times New Roman" w:eastAsia="黑体"/>
                <w:b/>
                <w:color w:val="17365D"/>
                <w:sz w:val="24"/>
              </w:rPr>
              <w:t>实验</w:t>
            </w:r>
          </w:p>
        </w:tc>
        <w:tc>
          <w:tcPr>
            <w:tcW w:type="dxa" w:w="5600"/>
            <w:tcMar>
              <w:top w:w="100" w:type="dxa"/>
              <w:start w:w="120" w:type="dxa"/>
              <w:bottom w:w="100" w:type="dxa"/>
              <w:end w:w="120" w:type="dxa"/>
            </w:tcMar>
            <w:shd w:fill="EAF1F8"/>
            <w:vAlign w:val="center"/>
          </w:tcPr>
          <w:p>
            <w:pPr>
              <w:spacing w:after="0"/>
              <w:ind w:firstLine="0"/>
              <w:jc w:val="center"/>
            </w:pPr>
            <w:r>
              <w:rPr>
                <w:rFonts w:ascii="Times New Roman" w:hAnsi="Times New Roman" w:eastAsia="黑体"/>
                <w:b/>
                <w:color w:val="17365D"/>
                <w:sz w:val="24"/>
              </w:rPr>
              <w:t>核心结果</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1</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共享SM-DP+跨Profile关联</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Standard关联指标为1；AURA AUC 0.4238，直接跨Profile关联为0。</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2</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MNO/Reseller与SM-DP+合谋及日志泄露</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Standard恢复设备级四Profile历史；AURA泄露范围收缩为单Profile生命周期。</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3</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操作票据盗取与跨设备转移</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完整AURA 24500次跨设备攻击全部拒绝；去除秘密绑定后全部接受。</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4</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双花、精确重传与条件追踪</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检测率和EID恢复率均为1，精确重传误报与误追踪均为0。</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5</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恶意SM-DP+诱导追踪与栽赃</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完整AURA误追踪为0；无日志消融在服务器可控字段上形成错误追踪。</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6</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生命周期重放、分叉与删除故障恢复</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6个子测试全部通过；并发仅一个后继，删除故障后最终收敛。</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7</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跨服务器移植</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7/7跨服务器攻击拒绝，0个Bind_t，0次Profile交付。</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8</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跨Profile与跨操作移植</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6/6跨Profile或跨操作攻击拒绝，攻击下无Profile交付。</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9</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能力协商降级攻击</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7/7网络降级或拼接攻击拒绝；require_hybrid策略生效。</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10</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Profile密文篡改、重放与明文替换</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4/4攻击拒绝，错误安装和安装收据均为0。</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11</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非法Reinstall</w:t>
            </w:r>
          </w:p>
        </w:tc>
        <w:tc>
          <w:tcPr>
            <w:tcW w:type="dxa" w:w="560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8/8非法重装拒绝；唯一合法重装成功并保留原生命周期。</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12</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PR源地址保护与PR-SM-DP+合谋</w:t>
            </w:r>
          </w:p>
        </w:tc>
        <w:tc>
          <w:tcPr>
            <w:tcW w:type="dxa" w:w="5600"/>
            <w:vAlign w:val="center"/>
            <w:shd w:fill="F4F6F8"/>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共享PR使IP AUC降至0.5；PR合谋下时间+大小匹配准确率回升至0.995。</w:t>
            </w:r>
          </w:p>
        </w:tc>
      </w:tr>
      <w:tr>
        <w:trPr>
          <w:cantSplit/>
        </w:trPr>
        <w:tc>
          <w:tcPr>
            <w:tcW w:type="dxa" w:w="720"/>
            <w:vAlign w:val="center"/>
            <w:tcMar>
              <w:top w:w="100" w:type="dxa"/>
              <w:start w:w="120" w:type="dxa"/>
              <w:bottom w:w="100" w:type="dxa"/>
              <w:end w:w="120" w:type="dxa"/>
            </w:tcMar>
          </w:tcPr>
          <w:p>
            <w:pPr>
              <w:spacing w:before="0" w:after="0" w:line="300" w:lineRule="auto"/>
              <w:ind w:firstLine="0"/>
              <w:jc w:val="center"/>
            </w:pPr>
            <w:r>
              <w:rPr>
                <w:rFonts w:ascii="Times New Roman" w:hAnsi="Times New Roman" w:eastAsia="宋体"/>
                <w:color w:val="1F2937"/>
                <w:sz w:val="24"/>
              </w:rPr>
              <w:t>13</w:t>
            </w:r>
          </w:p>
        </w:tc>
        <w:tc>
          <w:tcPr>
            <w:tcW w:type="dxa" w:w="2680"/>
            <w:vAlign w:val="center"/>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超出威胁模型的密钥或设备秘密泄露</w:t>
            </w:r>
          </w:p>
        </w:tc>
        <w:tc>
          <w:tcPr>
            <w:tcW w:type="dxa" w:w="5600"/>
            <w:vAlign w:val="center"/>
            <w:shd w:fill="F4F6F8"/>
            <w:tcMar>
              <w:top w:w="100" w:type="dxa"/>
              <w:start w:w="120" w:type="dxa"/>
              <w:bottom w:w="100" w:type="dxa"/>
              <w:end w:w="120" w:type="dxa"/>
            </w:tcMar>
          </w:tcPr>
          <w:p>
            <w:pPr>
              <w:spacing w:before="0" w:after="0" w:line="300" w:lineRule="auto"/>
              <w:ind w:firstLine="0"/>
              <w:jc w:val="left"/>
            </w:pPr>
            <w:r>
              <w:rPr>
                <w:rFonts w:ascii="Times New Roman" w:hAnsi="Times New Roman" w:eastAsia="宋体"/>
                <w:color w:val="1F2937"/>
                <w:sz w:val="24"/>
              </w:rPr>
              <w:t>六类预期失陷均出现，统一标记为超出威胁模型，而非协议漏洞。</w:t>
            </w:r>
          </w:p>
        </w:tc>
      </w:tr>
    </w:tbl>
    <w:p>
      <w:pPr>
        <w:pStyle w:val="Heading1"/>
      </w:pPr>
      <w:r>
        <w:t>三、十三项实验说明</w:t>
      </w:r>
    </w:p>
    <w:p>
      <w:pPr>
        <w:keepLines w:val="0"/>
        <w:ind w:firstLine="0"/>
      </w:pPr>
      <w:r>
        <w:rPr>
          <w:rFonts w:ascii="Times New Roman" w:hAnsi="Times New Roman" w:eastAsia="宋体"/>
          <w:color w:val="1F2937"/>
          <w:sz w:val="24"/>
        </w:rPr>
        <w:t>以下各实验均按照实验目的、实验方法、主要结果以及结论与边界四个方面进行说明。</w:t>
      </w:r>
    </w:p>
    <w:p>
      <w:pPr>
        <w:pStyle w:val="Heading1"/>
      </w:pPr>
      <w:r>
        <w:t>实验1  共享SM-DP+跨Profile关联</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评估共享SM-DP+能否仅凭正常可见的认证与下载转录，将不同MNO、不同订单和不同Profile的事务关联到同一物理eUICC。</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使用20台模拟eUICC，每台从4个MNO获取4个独立Profile，每种协议生成80条受控公开转录。订单、测试账号、下载时间、Profile大小和网络出口均被控制；攻击者分别使用稳定标识直接分组、成对逻辑回归分类和设备聚类进行关联。该批量实验不等同于160次完整HTTPS下载。</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Standard RSP的ROC-AUC、pairwise accuracy、完整设备恢复率和跨Profile关联率均为1.000。AURA-RSP的ROC-AUC为0.4238，pairwise accuracy为0.4667，稳定标识直接分组下的完整设备恢复率和跨Profile关联率均为0.0。</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在控制主要辅助因素后，Standard RSP正常认证日志中的EID、证书和稳定公钥可直接支持跨Profile设备关联；AURA-RSP公开转录未暴露同类稳定设备标识，成对分类接近随机猜测。本结论不扩展到流量侧信道、端点失陷或PR与SM-DP+合谋。</w:t>
      </w:r>
    </w:p>
    <w:p>
      <w:pPr>
        <w:pStyle w:val="Heading1"/>
      </w:pPr>
      <w:r>
        <w:t>实验2  MNO/Reseller与SM-DP+合谋及日志泄露</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测量多个业务实体共享订单、认证和下载日志，或SM-DP+数据库整体泄露后，攻击者能够恢复多少设备级Profile历史。</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生成250台eUICC、4个MNO、每种协议1000条下载记录，每个订单使用不同测试账号。2A让两个MNO与共享SM-DP+连接订单和下载日志；2B向分析器导出全部SM-DP+下载与生命周期日志，并重建设备或Profile生命周期簇。</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2A中两种协议的订单-下载连接率均为1.000；Standard的完整跨MNO历史恢复率为1.000，AURA为0.000。2B中Standard形成250个簇、平均每簇4.0个Profile；AURA形成1000个簇、平均每簇1.0个Profile。同一lph内的生命周期连接率在两者中均为1。</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AURA-RSP不隐藏MNO自己的订单与交付事实，也保留同一Profile生命周期内的可审计性；其隐私收益是把日志泄露和跨实体合谋的影响半径从设备级历史缩小到单个订单和单个Profile生命周期。</w:t>
      </w:r>
    </w:p>
    <w:p>
      <w:pPr>
        <w:pStyle w:val="Heading1"/>
      </w:pPr>
      <w:r>
        <w:t>实验3  操作票据盗取与跨设备转移</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验证不公开EID的匿名操作票据是否仍只能由持有匹配隐藏秘密x的原eUICC使用。</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50台设备各获得一张票据，所有票据在全部50台设备上尝试使用并重复10轮。四种配置分别为完整AURA-RSP、无秘密绑定消融、Standard EID预绑定订单和Standard未绑定Activation Code；共执行100000次矩阵判定，其中每种配置含500次合法对照和24500次跨设备攻击。</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完整AURA的跨设备认证接受率和Profile下发率均为0.0；无秘密绑定消融均为1.0。Standard EID预绑定对照的转移成功率为0.0，未绑定Activation Code对照为1.0。所有合法对照均成功。</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隐藏秘密相等关系为票据提供确定的密码学不可转移性，而无需向SM-DP+公开EID。Standard结果取决于订单策略：EID预绑定能够拒绝，但依赖稳定身份；未绑定激活码在持有码者模型下可被转移。消融仅为实验对照，不是协议运行模式。</w:t>
      </w:r>
    </w:p>
    <w:p>
      <w:pPr>
        <w:pStyle w:val="Heading1"/>
      </w:pPr>
      <w:r>
        <w:t>实验4  双花、精确重传与条件追踪</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验证系统能否区分正常使用、网络精确重传和真正双花，并只在两份不同有效转录出现时恢复违规设备身份。</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在6组每组1000张票据的混合负载中，将双花比例从0%提高到50%，并改变重传次数、双花转录数量和并发度；另将UsedNullifier数据库预填充至10^2、10^3、10^4和10^5条，测量新记录、精确重传和双花分类。真实BBS+证明验证及EUM追踪与数据库分类计时分开执行。</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双花检测率与EID恢复正确率均为1.000，精确重传误报率为0.000，误追踪数为0，且没有第二次业务执行。10^5条记录时，新nullifier、精确重传和双花分类的P95延迟分别为2.174 ms、0.936 ms和1.709 ms；两份真实转录验证均值约为2350.876 ms。</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AURA-RSP能够把精确重传作为幂等请求处理，把同一nullifier下的不同有效转录判定为双花，并在拒绝第二次业务执行后恢复正确EID。单份正常转录不暴露身份；SQLite分类性能与BBS+密码学成本不可混为一谈。</w:t>
      </w:r>
    </w:p>
    <w:p>
      <w:pPr>
        <w:pStyle w:val="Heading1"/>
      </w:pPr>
      <w:r>
        <w:t>实验5  恶意SM-DP+诱导追踪与栽赃</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检验持有合法服务器签名密钥的恶意SM-DP+能否修改挑战上下文，诱导诚实eUICC产生第二份不同有效响应并提交给EUM进行错误追踪。</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对N_S、I_t、cap、serverOID、sid、pid_h、op和PRaddr八个字段分别执行1000次随机篡改，并比较完整AURA、无LocalTicketLog和仅按键缓存但不比较上下文三种实现，共24000次诱导请求；恶意挑战数扩展到128，安全类别另由真实BBS+证明和生产追踪公式校准。</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完整AURA误追踪率为0.0，128次挑战后仍只有1份不同有效响应。无LocalTicketLog消融的八字段汇总误追踪率为50.0%，128次挑战产生129份不同有效响应。仅键缓存消融误追踪率为0，但会向新上下文返回无效的旧响应。</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LocalTicketLog缓存阻止同一票据重复生成独立响应，完整上下文比较保证不一致挑战以fail-closed方式终止。二者共同防止恶意服务器单方面制造可追踪证据；两种消融实现仅用于证明机制必要性。</w:t>
      </w:r>
    </w:p>
    <w:p>
      <w:pPr>
        <w:pStyle w:val="Heading1"/>
      </w:pPr>
      <w:r>
        <w:t>实验6  生命周期重放、分叉与删除故障恢复</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验证匿名Profile生命周期在旧收据重放、字段篡改、并发状态分叉和删除消息丢失条件下仍保持状态连续性与最终收敛。</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依次执行6A旧收据重放与最新重试、6B收据字段和语义篡改、6C从同一前驱并发enable/delete、6D丢失Rprep、6E丢失CommitReceipt或最终确认、6F删除票据过期后继续commit-delete。服务器使用SQLite BEGIN IMMEDIATE事务、状态/计数器/last_hash检查和原子CAS。</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6A至6F全部通过。旧收据被拒绝，最新收据精确重试保持幂等；7类字段篡改和5类语义篡改均被拒绝；并发分叉只提交1个后继；Rprep重试返回同一对象；丢失消息后双方最终收敛；有效pending-delete允许在原票据过期后完成提交。</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lph、状态计数器、last_hash、HMAC、Rprep和原子CAS共同形成单一认证状态链，并支持删除过程的幂等恢复。该结论依赖数据库提供等价的串行化或CAS语义；当前Standard baseline没有对应生命周期接口，标记为UNSUPPORTED而非不安全。</w:t>
      </w:r>
    </w:p>
    <w:p>
      <w:pPr>
        <w:pStyle w:val="Heading1"/>
      </w:pPr>
      <w:r>
        <w:t>实验7  跨服务器移植</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验证针对SM-DP+-A生成的认证请求是否能够被原样重放或修改上下文后移植到SM-DP+-B。</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在A/B服务器正向控制均成功的基础上，测试直接重放、仅替换目标地址、替换事务、修改sid、serverOID、cap和PRaddr等7类攻击；请求保留原证明和一次性签名。Standard部分依据当前baseline源码进行证书、事务号、挑战与签名绑定的受控回归检查。</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AURA的7类攻击全部拒绝，有效Bind_t数量为0，攻击下Profile交付为0。拒绝原因覆盖UNKNOWN_TRANSACTION、GAMMA_CONTEXT_MISMATCH和PR_IDENTITY_MISMATCH，服务器A/B的合法正向认证均成功。</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AURA-RSP在移除稳定设备身份暴露后仍保留服务器、事务、能力和PR上下文绑定。正确实现的Standard RSP也应通过服务器证书和事务绑定拒绝该类攻击，因此本实验是匿名化后的安全回归，而不是Standard协议漏洞证明。</w:t>
      </w:r>
    </w:p>
    <w:p>
      <w:pPr>
        <w:pStyle w:val="Heading1"/>
      </w:pPr>
      <w:r>
        <w:t>实验8  跨Profile与跨操作移植</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验证Profile-A的download认证、Binding与密钥材料能否被移植到Profile-B，或被改造成delete、reinstall和enable授权。</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先完成Profile-A和Profile-B的合法认证及交付，再测试修改pid_h但保留证明、强化后重签外层认证、移植Bind_t/ctx_bind，以及把download改为delete、reinstall或enable，共6类攻击。Standard使用BPP签名、事务号和Profile绑定进行源码支持的受控对照。</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6类攻击全部拒绝，攻击下Profile交付数为0，没有生成可用于攻击的Bind_t；两个合法Profile正向控制均成功交付。拒绝发生在认证上下文、Pi_auth或会话认证状态检查阶段。</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AURA匿名认证不是可复用的通用设备通行证，而是绑定Profile、操作、事务和会话的最小授权。Standard的BPP和事务绑定也应阻止同类移植，本实验因此属于安全交付回归。</w:t>
      </w:r>
    </w:p>
    <w:p>
      <w:pPr>
        <w:pStyle w:val="Heading1"/>
      </w:pPr>
      <w:r>
        <w:t>实验9  能力协商降级攻击</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验证网络攻击者能否把Hybrid协商降级为Classical、删除或替换ML-KEM材料，或在两种模式之间拼接会话材料。</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集成实现同时启用P-256 ECDH和P-256 ECDH+ML-KEM-768。攻击覆盖篡改能力提议、篡改已签名模式、删除ML-KEM公钥/密文、替换密文、跨模式拼接临时密钥和重标记响应；另测试合法服务器选择Classical时的allow_classical与require_hybrid策略。</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7类网络篡改全部拒绝且没有Profile交付；Hybrid和Classical正向控制均成功。合法服务器选择Classical时，允许Classical的设备正常接受，require_hybrid设备以HYBRID_REQUIRED拒绝。</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AURA-RSP防止的是协商转录被中间人修改以及跨模式密钥材料拼接。拥有合法密钥的服务器在设备允许范围内选择Classical不是网络降级攻击；是否强制Hybrid由设备策略决定。</w:t>
      </w:r>
    </w:p>
    <w:p>
      <w:pPr>
        <w:pStyle w:val="Heading1"/>
      </w:pPr>
      <w:r>
        <w:t>实验10  Profile密文篡改、重放与明文替换</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验证Profile加密交付能否抵抗密文或Tag篡改、跨会话密文重放，以及持有当前会话密钥的恶意SM-DP+加密错误Profile。</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直接调用集成版AuraService.get_profile、P-256/HKDF/AES-GCM和客户端统一明文检查。攻击包括翻转密文字节、修改AEAD Tag、把Session-A密文发送到Session-B，以及用当前合法密钥加密与订单pid_h不一致的Profile。</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4类攻击全部拒绝，攻击安装数为0，安装收据数为0。前两类由AES-GCM完整性验证拒绝，跨会话重放由ctx_K、会话密钥和AAD绑定拒绝；错误明文虽然通过AEAD，但被H(Profile)=response.profileSha256=ticket.pid_h检查拒绝。</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AEAD保证传输完整性和会话绑定，解密后的订单摘要检查进一步防止持有合法会话密钥的服务器替换Profile。若MNO与SM-DP+共同把错误Profile摘要授权为pid_h，则属于业务授权信任问题，而非协议可检测的密文替换。</w:t>
      </w:r>
    </w:p>
    <w:p>
      <w:pPr>
        <w:pStyle w:val="Heading1"/>
      </w:pPr>
      <w:r>
        <w:t>实验11  非法Reinstall</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验证Reinstall只能沿同一Profile生命周期从tombstone状态回到installed，不能从其他状态或使用错误生命周期材料重装。</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测试installed/enabled/disabled直接重装、错误lph、新salt_p、旧票据、旧ReinstallReceipt以及计数器或last_hash篡改8类非法场景，并设置合法tombstone到installed正向控制。合法路径还要求新票据、新会话、新Bind_t、Profile摘要检查和正确HMAC收据。</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8类非法场景全部拒绝，非法业务执行和非法状态变化均为0。合法tombstone到installed重装成功，最终状态为installed，原lph得到保留，精确重试保持幂等。</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实现严格执行tombstone到installed的唯一Reinstall转移，并延续原lph、salt_p、计数器和last_hash状态链。当前Standard baseline没有对应Reinstall状态链接口，因此标记为UNSUPPORTED。</w:t>
      </w:r>
    </w:p>
    <w:p>
      <w:pPr>
        <w:pStyle w:val="Heading1"/>
      </w:pPr>
      <w:r>
        <w:t>实验12  PR源地址保护与PR-SM-DP+合谋</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量化直连、共享Privacy Relay以及PR与SM-DP+合谋三种观察模式下，源IP和流量元数据对设备关联能力的影响。</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使用100台模拟设备，每台发起4次事务，共400条固定种子网络元数据轨迹。12A由SM-DP+观察稳定设备IP；12B所有设备共享一个PR出口；12C合并PR入口与SM-DP+出口的时间和流量大小日志，通过一对一匹配恢复连接关系。</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直连模式的IP关联ROC-AUC和完整设备历史恢复率均为1.000，平均匿名集为1.0。共享PR后ROC-AUC为0.500，完整历史恢复率为0.000，平均匿名集增至100.0。合谋时，时间+大小匹配准确率为0.995，完整历史恢复率为0.980。</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共享PR显著削弱SM-DP+仅凭源IP进行关联的能力，但不抵抗PR与SM-DP+合谋或同时观察入口/出口的全局观察者。12C成功关联是预期边界失效（EXPECTED_BOUNDARY_FAILURE），不属于AURA-RSP协议漏洞。</w:t>
      </w:r>
    </w:p>
    <w:p>
      <w:pPr>
        <w:pStyle w:val="Heading1"/>
      </w:pPr>
      <w:r>
        <w:t>实验13  超出威胁模型的密钥或设备秘密泄露</w:t>
      </w:r>
    </w:p>
    <w:p>
      <w:pPr>
        <w:keepLines w:val="0"/>
        <w:spacing w:after="120" w:line="360" w:lineRule="auto"/>
        <w:ind w:firstLine="0"/>
      </w:pPr>
      <w:r>
        <w:rPr>
          <w:rFonts w:ascii="Times New Roman" w:hAnsi="Times New Roman" w:eastAsia="黑体"/>
          <w:b/>
          <w:color w:val="17365D"/>
          <w:sz w:val="24"/>
        </w:rPr>
        <w:t>实验目的：</w:t>
      </w:r>
      <w:r>
        <w:rPr>
          <w:rFonts w:ascii="Times New Roman" w:hAnsi="Times New Roman" w:eastAsia="宋体"/>
          <w:color w:val="1F2937"/>
          <w:sz w:val="24"/>
        </w:rPr>
        <w:t>明确AURA-RSP安全保证依赖的根信任和端点秘密，区分协议内攻击与设备、签发方或追踪数据库失陷后的预期后果。</w:t>
      </w:r>
    </w:p>
    <w:p>
      <w:pPr>
        <w:keepLines w:val="0"/>
        <w:spacing w:after="120" w:line="360" w:lineRule="auto"/>
        <w:ind w:firstLine="0"/>
      </w:pPr>
      <w:r>
        <w:rPr>
          <w:rFonts w:ascii="Times New Roman" w:hAnsi="Times New Roman" w:eastAsia="黑体"/>
          <w:b/>
          <w:color w:val="17365D"/>
          <w:sz w:val="24"/>
        </w:rPr>
        <w:t>实验方法：</w:t>
      </w:r>
      <w:r>
        <w:rPr>
          <w:rFonts w:ascii="Times New Roman" w:hAnsi="Times New Roman" w:eastAsia="宋体"/>
          <w:color w:val="1F2937"/>
          <w:sz w:val="24"/>
        </w:rPr>
        <w:t>分别泄露eUICC长期秘密x、票据见证eta/d、EUM签发私钥、MNO票据签发私钥、SM-DP+认证与Binding私钥以及EUM追踪数据库，并使用生产BBS+后端重新执行克隆、伪造、服务器冒充和身份解析操作。</w:t>
      </w:r>
    </w:p>
    <w:p>
      <w:pPr>
        <w:keepLines w:val="0"/>
        <w:spacing w:after="120" w:line="360" w:lineRule="auto"/>
        <w:ind w:firstLine="0"/>
      </w:pPr>
      <w:r>
        <w:rPr>
          <w:rFonts w:ascii="Times New Roman" w:hAnsi="Times New Roman" w:eastAsia="黑体"/>
          <w:b/>
          <w:color w:val="17365D"/>
          <w:sz w:val="24"/>
        </w:rPr>
        <w:t>主要结果：</w:t>
      </w:r>
      <w:r>
        <w:rPr>
          <w:rFonts w:ascii="Times New Roman" w:hAnsi="Times New Roman" w:eastAsia="宋体"/>
          <w:color w:val="1F2937"/>
          <w:sz w:val="24"/>
        </w:rPr>
        <w:t>6类泄露的预期影响全部被观察到，20/20项断言通过。EUM、MNO、SM-DP+私钥及追踪数据库泄露可独立破坏对应属性；x与eta/d单独不足，但与匹配的完整持有者状态组合后可造成克隆或票据复用。所有成功结果均分类为EXPECTED OUT-OF-SCOPE COMPROMISE。</w:t>
      </w:r>
    </w:p>
    <w:p>
      <w:pPr>
        <w:keepLines w:val="0"/>
        <w:spacing w:after="120" w:line="360" w:lineRule="auto"/>
        <w:ind w:firstLine="0"/>
      </w:pPr>
      <w:r>
        <w:rPr>
          <w:rFonts w:ascii="Times New Roman" w:hAnsi="Times New Roman" w:eastAsia="黑体"/>
          <w:b/>
          <w:color w:val="17365D"/>
          <w:sz w:val="24"/>
        </w:rPr>
        <w:t>结论与边界：</w:t>
      </w:r>
      <w:r>
        <w:rPr>
          <w:rFonts w:ascii="Times New Roman" w:hAnsi="Times New Roman" w:eastAsia="宋体"/>
          <w:color w:val="1F2937"/>
          <w:sz w:val="24"/>
        </w:rPr>
        <w:t>该实验不是证明AURA-RSP在秘密泄露后仍安全，而是明确方案保证的前提：诚实eUICC内部秘密、EUM/MNO/SM-DP+私钥和追踪映射必须受到保护。密钥撤销、轮换、HSM和入侵恢复属于部署层缓解措施。</w:t>
      </w:r>
    </w:p>
    <w:p>
      <w:pPr>
        <w:pStyle w:val="Heading1"/>
      </w:pPr>
      <w:r>
        <w:t>四、总体结论</w:t>
      </w:r>
    </w:p>
    <w:tbl>
      <w:tblPr>
        <w:tblStyle w:val="TableGrid"/>
        <w:tblW w:type="dxa" w:w="9000"/>
        <w:tblLayout w:type="fixed"/>
        <w:tblLook w:firstColumn="1" w:firstRow="1" w:lastColumn="0" w:lastRow="0" w:noHBand="0" w:noVBand="1" w:val="04A0"/>
        <w:jc w:val="left"/>
        <w:tblInd w:w="12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100"/>
        <w:gridCol w:w="6900"/>
      </w:tblGrid>
      <w:tr>
        <w:trPr>
          <w:cantSplit/>
          <w:tblHeader w:val="true"/>
          <w:cantSplit/>
        </w:trPr>
        <w:tc>
          <w:tcPr>
            <w:tcW w:type="dxa" w:w="2100"/>
            <w:tcMar>
              <w:top w:w="100" w:type="dxa"/>
              <w:start w:w="120" w:type="dxa"/>
              <w:bottom w:w="100" w:type="dxa"/>
              <w:end w:w="120" w:type="dxa"/>
            </w:tcMar>
            <w:shd w:fill="EAF1F8"/>
          </w:tcPr>
          <w:p>
            <w:pPr>
              <w:spacing w:after="0"/>
              <w:ind w:firstLine="0"/>
              <w:jc w:val="center"/>
            </w:pPr>
            <w:r>
              <w:rPr>
                <w:rFonts w:ascii="Times New Roman" w:hAnsi="Times New Roman" w:eastAsia="黑体"/>
                <w:b/>
                <w:color w:val="17365D"/>
                <w:sz w:val="24"/>
              </w:rPr>
              <w:t>结论类别</w:t>
            </w:r>
          </w:p>
        </w:tc>
        <w:tc>
          <w:tcPr>
            <w:tcW w:type="dxa" w:w="6900"/>
            <w:tcMar>
              <w:top w:w="100" w:type="dxa"/>
              <w:start w:w="120" w:type="dxa"/>
              <w:bottom w:w="100" w:type="dxa"/>
              <w:end w:w="120" w:type="dxa"/>
            </w:tcMar>
            <w:shd w:fill="EAF1F8"/>
          </w:tcPr>
          <w:p>
            <w:pPr>
              <w:spacing w:after="0"/>
              <w:ind w:firstLine="0"/>
              <w:jc w:val="center"/>
            </w:pPr>
            <w:r>
              <w:rPr>
                <w:rFonts w:ascii="Times New Roman" w:hAnsi="Times New Roman" w:eastAsia="黑体"/>
                <w:b/>
                <w:color w:val="17365D"/>
                <w:sz w:val="24"/>
              </w:rPr>
              <w:t>可支持的表述</w:t>
            </w:r>
          </w:p>
        </w:tc>
      </w:tr>
      <w:tr>
        <w:trPr>
          <w:cantSplit/>
        </w:trPr>
        <w:tc>
          <w:tcPr>
            <w:tcW w:type="dxa" w:w="2100"/>
            <w:vAlign w:val="center"/>
            <w:tcMar>
              <w:top w:w="100" w:type="dxa"/>
              <w:start w:w="120" w:type="dxa"/>
              <w:bottom w:w="100" w:type="dxa"/>
              <w:end w:w="120" w:type="dxa"/>
            </w:tcMar>
          </w:tcPr>
          <w:p>
            <w:pPr>
              <w:spacing w:after="0" w:line="300" w:lineRule="auto"/>
              <w:ind w:firstLine="0"/>
              <w:jc w:val="center"/>
            </w:pPr>
            <w:r>
              <w:rPr>
                <w:rFonts w:ascii="Times New Roman" w:hAnsi="Times New Roman" w:eastAsia="黑体"/>
                <w:b/>
                <w:color w:val="1F2937"/>
                <w:sz w:val="24"/>
              </w:rPr>
              <w:t>隐私收益</w:t>
            </w:r>
          </w:p>
        </w:tc>
        <w:tc>
          <w:tcPr>
            <w:tcW w:type="dxa" w:w="6900"/>
            <w:vAlign w:val="center"/>
            <w:tcMar>
              <w:top w:w="100" w:type="dxa"/>
              <w:start w:w="120" w:type="dxa"/>
              <w:bottom w:w="100" w:type="dxa"/>
              <w:end w:w="120" w:type="dxa"/>
            </w:tcMar>
          </w:tcPr>
          <w:p>
            <w:pPr>
              <w:spacing w:after="0" w:line="300" w:lineRule="auto"/>
              <w:ind w:firstLine="0"/>
              <w:jc w:val="left"/>
            </w:pPr>
            <w:r>
              <w:rPr>
                <w:rFonts w:ascii="Times New Roman" w:hAnsi="Times New Roman" w:eastAsia="宋体"/>
                <w:b w:val="0"/>
                <w:color w:val="1F2937"/>
                <w:sz w:val="24"/>
              </w:rPr>
              <w:t>AURA-RSP减少SM-DP+可见的稳定设备标识，把跨实体日志泄露影响限制在订单和单Profile生命周期。</w:t>
            </w:r>
          </w:p>
        </w:tc>
      </w:tr>
      <w:tr>
        <w:trPr>
          <w:cantSplit/>
        </w:trPr>
        <w:tc>
          <w:tcPr>
            <w:tcW w:type="dxa" w:w="2100"/>
            <w:vAlign w:val="center"/>
            <w:tcMar>
              <w:top w:w="100" w:type="dxa"/>
              <w:start w:w="120" w:type="dxa"/>
              <w:bottom w:w="100" w:type="dxa"/>
              <w:end w:w="120" w:type="dxa"/>
            </w:tcMar>
          </w:tcPr>
          <w:p>
            <w:pPr>
              <w:spacing w:after="0" w:line="300" w:lineRule="auto"/>
              <w:ind w:firstLine="0"/>
              <w:jc w:val="center"/>
            </w:pPr>
            <w:r>
              <w:rPr>
                <w:rFonts w:ascii="Times New Roman" w:hAnsi="Times New Roman" w:eastAsia="黑体"/>
                <w:b/>
                <w:color w:val="1F2937"/>
                <w:sz w:val="24"/>
              </w:rPr>
              <w:t>认证与交付</w:t>
            </w:r>
          </w:p>
        </w:tc>
        <w:tc>
          <w:tcPr>
            <w:tcW w:type="dxa" w:w="6900"/>
            <w:vAlign w:val="center"/>
            <w:tcMar>
              <w:top w:w="100" w:type="dxa"/>
              <w:start w:w="120" w:type="dxa"/>
              <w:bottom w:w="100" w:type="dxa"/>
              <w:end w:w="120" w:type="dxa"/>
            </w:tcMar>
          </w:tcPr>
          <w:p>
            <w:pPr>
              <w:spacing w:after="0" w:line="300" w:lineRule="auto"/>
              <w:ind w:firstLine="0"/>
              <w:jc w:val="left"/>
            </w:pPr>
            <w:r>
              <w:rPr>
                <w:rFonts w:ascii="Times New Roman" w:hAnsi="Times New Roman" w:eastAsia="宋体"/>
                <w:b w:val="0"/>
                <w:color w:val="1F2937"/>
                <w:sz w:val="24"/>
              </w:rPr>
              <w:t>匿名化后仍保留票据不可转移、服务器/Profile/操作/会话绑定、协商完整性和Profile密文完整性。</w:t>
            </w:r>
          </w:p>
        </w:tc>
      </w:tr>
      <w:tr>
        <w:trPr>
          <w:cantSplit/>
        </w:trPr>
        <w:tc>
          <w:tcPr>
            <w:tcW w:type="dxa" w:w="2100"/>
            <w:vAlign w:val="center"/>
            <w:tcMar>
              <w:top w:w="100" w:type="dxa"/>
              <w:start w:w="120" w:type="dxa"/>
              <w:bottom w:w="100" w:type="dxa"/>
              <w:end w:w="120" w:type="dxa"/>
            </w:tcMar>
          </w:tcPr>
          <w:p>
            <w:pPr>
              <w:spacing w:after="0" w:line="300" w:lineRule="auto"/>
              <w:ind w:firstLine="0"/>
              <w:jc w:val="center"/>
            </w:pPr>
            <w:r>
              <w:rPr>
                <w:rFonts w:ascii="Times New Roman" w:hAnsi="Times New Roman" w:eastAsia="黑体"/>
                <w:b/>
                <w:color w:val="1F2937"/>
                <w:sz w:val="24"/>
              </w:rPr>
              <w:t>可追责性</w:t>
            </w:r>
          </w:p>
        </w:tc>
        <w:tc>
          <w:tcPr>
            <w:tcW w:type="dxa" w:w="6900"/>
            <w:vAlign w:val="center"/>
            <w:tcMar>
              <w:top w:w="100" w:type="dxa"/>
              <w:start w:w="120" w:type="dxa"/>
              <w:bottom w:w="100" w:type="dxa"/>
              <w:end w:w="120" w:type="dxa"/>
            </w:tcMar>
          </w:tcPr>
          <w:p>
            <w:pPr>
              <w:spacing w:after="0" w:line="300" w:lineRule="auto"/>
              <w:ind w:firstLine="0"/>
              <w:jc w:val="left"/>
            </w:pPr>
            <w:r>
              <w:rPr>
                <w:rFonts w:ascii="Times New Roman" w:hAnsi="Times New Roman" w:eastAsia="宋体"/>
                <w:b w:val="0"/>
                <w:color w:val="1F2937"/>
                <w:sz w:val="24"/>
              </w:rPr>
              <w:t>精确重传保持幂等；真正双花拒绝第二次执行并恢复正确EID；恶意服务器不能单方面制造追踪证据。</w:t>
            </w:r>
          </w:p>
        </w:tc>
      </w:tr>
      <w:tr>
        <w:trPr>
          <w:cantSplit/>
        </w:trPr>
        <w:tc>
          <w:tcPr>
            <w:tcW w:type="dxa" w:w="2100"/>
            <w:vAlign w:val="center"/>
            <w:tcMar>
              <w:top w:w="100" w:type="dxa"/>
              <w:start w:w="120" w:type="dxa"/>
              <w:bottom w:w="100" w:type="dxa"/>
              <w:end w:w="120" w:type="dxa"/>
            </w:tcMar>
          </w:tcPr>
          <w:p>
            <w:pPr>
              <w:spacing w:after="0" w:line="300" w:lineRule="auto"/>
              <w:ind w:firstLine="0"/>
              <w:jc w:val="center"/>
            </w:pPr>
            <w:r>
              <w:rPr>
                <w:rFonts w:ascii="Times New Roman" w:hAnsi="Times New Roman" w:eastAsia="黑体"/>
                <w:b/>
                <w:color w:val="1F2937"/>
                <w:sz w:val="24"/>
              </w:rPr>
              <w:t>生命周期</w:t>
            </w:r>
          </w:p>
        </w:tc>
        <w:tc>
          <w:tcPr>
            <w:tcW w:type="dxa" w:w="6900"/>
            <w:vAlign w:val="center"/>
            <w:tcMar>
              <w:top w:w="100" w:type="dxa"/>
              <w:start w:w="120" w:type="dxa"/>
              <w:bottom w:w="100" w:type="dxa"/>
              <w:end w:w="120" w:type="dxa"/>
            </w:tcMar>
          </w:tcPr>
          <w:p>
            <w:pPr>
              <w:spacing w:after="0" w:line="300" w:lineRule="auto"/>
              <w:ind w:firstLine="0"/>
              <w:jc w:val="left"/>
            </w:pPr>
            <w:r>
              <w:rPr>
                <w:rFonts w:ascii="Times New Roman" w:hAnsi="Times New Roman" w:eastAsia="宋体"/>
                <w:b w:val="0"/>
                <w:color w:val="1F2937"/>
                <w:sz w:val="24"/>
              </w:rPr>
              <w:t>状态收据、计数器、前驱摘要和原子CAS阻止重放与分叉，并支持删除故障恢复和受限Reinstall。</w:t>
            </w:r>
          </w:p>
        </w:tc>
      </w:tr>
      <w:tr>
        <w:trPr>
          <w:cantSplit/>
        </w:trPr>
        <w:tc>
          <w:tcPr>
            <w:tcW w:type="dxa" w:w="2100"/>
            <w:vAlign w:val="center"/>
            <w:tcMar>
              <w:top w:w="100" w:type="dxa"/>
              <w:start w:w="120" w:type="dxa"/>
              <w:bottom w:w="100" w:type="dxa"/>
              <w:end w:w="120" w:type="dxa"/>
            </w:tcMar>
          </w:tcPr>
          <w:p>
            <w:pPr>
              <w:spacing w:after="0" w:line="300" w:lineRule="auto"/>
              <w:ind w:firstLine="0"/>
              <w:jc w:val="center"/>
            </w:pPr>
            <w:r>
              <w:rPr>
                <w:rFonts w:ascii="Times New Roman" w:hAnsi="Times New Roman" w:eastAsia="黑体"/>
                <w:b/>
                <w:color w:val="1F2937"/>
                <w:sz w:val="24"/>
              </w:rPr>
              <w:t>保证边界</w:t>
            </w:r>
          </w:p>
        </w:tc>
        <w:tc>
          <w:tcPr>
            <w:tcW w:type="dxa" w:w="6900"/>
            <w:vAlign w:val="center"/>
            <w:tcMar>
              <w:top w:w="100" w:type="dxa"/>
              <w:start w:w="120" w:type="dxa"/>
              <w:bottom w:w="100" w:type="dxa"/>
              <w:end w:w="120" w:type="dxa"/>
            </w:tcMar>
          </w:tcPr>
          <w:p>
            <w:pPr>
              <w:spacing w:after="0" w:line="300" w:lineRule="auto"/>
              <w:ind w:firstLine="0"/>
              <w:jc w:val="left"/>
            </w:pPr>
            <w:r>
              <w:rPr>
                <w:rFonts w:ascii="Times New Roman" w:hAnsi="Times New Roman" w:eastAsia="宋体"/>
                <w:b w:val="0"/>
                <w:color w:val="1F2937"/>
                <w:sz w:val="24"/>
              </w:rPr>
              <w:t>PR不抵抗入口/出口合谋观察；根密钥、端点秘密和追踪数据库失陷超出协议保证范围。</w:t>
            </w:r>
          </w:p>
        </w:tc>
      </w:tr>
    </w:tbl>
    <w:p>
      <w:pPr>
        <w:keepLines w:val="0"/>
        <w:ind w:firstLine="480"/>
      </w:pPr>
      <w:r>
        <w:rPr>
          <w:rFonts w:ascii="Times New Roman" w:hAnsi="Times New Roman" w:eastAsia="宋体"/>
          <w:color w:val="1F2937"/>
          <w:sz w:val="24"/>
        </w:rPr>
        <w:t>综合十三项实验，当前pySim/osmo-smdpp集成原型支持论文方案的核心实验结论：AURA-RSP在减少稳定设备身份暴露的同时，保持操作票据不可转移、条件追踪不可栽赃、Profile与会话绑定、安全交付以及可验证生命周期连续性。实验结果同时明确了方案边界，即PR源地址隔离不抵抗PR与SM-DP+合谋，根信任或诚实设备秘密失陷也不在协议保证范围内。上述结论适用于当前软件研究原型和声明的受控实验条件，不应直接外推为工业级GSMA部署或真实移动网络的整体安全认证。</w:t>
      </w:r>
    </w:p>
    <w:p>
      <w:pPr>
        <w:pStyle w:val="Heading1"/>
      </w:pPr>
      <w:r>
        <w:t>五、复现说明</w:t>
      </w:r>
    </w:p>
    <w:p>
      <w:pPr>
        <w:keepLines w:val="0"/>
        <w:ind w:firstLine="480"/>
      </w:pPr>
      <w:r>
        <w:rPr>
          <w:rFonts w:ascii="Times New Roman" w:hAnsi="Times New Roman" w:eastAsia="宋体"/>
          <w:color w:val="1F2937"/>
          <w:sz w:val="24"/>
        </w:rPr>
        <w:t>十三个实验位于项目experiments目录下的experiment-01至experiment-13独立文件夹。进入任一实验目录后执行bash ./run_demo.sh即可重新生成results/latest中的正式结果；使用--machine-json可获得机器可读摘要。每项实验的README进一步说明运行参数、原始数据、断言和实现边界。</w:t>
      </w:r>
    </w:p>
    <w:sectPr w:rsidR="00FC693F" w:rsidRPr="0006063C" w:rsidSect="00034616">
      <w:headerReference w:type="default" r:id="rId9"/>
      <w:footerReference w:type="default" r:id="rId10"/>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宋体"/>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宋体"/>
        <w:color w:val="667085"/>
        <w:sz w:val="18"/>
      </w:rPr>
      <w:t>AURA-RSP 十三项安全与隐私实验说明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ind w:firstLine="480"/>
      <w:jc w:val="both"/>
    </w:pPr>
    <w:rPr>
      <w:rFonts w:ascii="Times New Roman" w:hAnsi="Times New Roman" w:eastAsia="宋体"/>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Times New Roman" w:hAnsi="Times New Roman" w:eastAsia="黑体"/>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eastAsia="黑体"/>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AURA-RSP 十三项安全与隐私实验说明</dc:title>
  <dc:subject>基于pySim/osmo-smdpp集成原型的实验设计、结果与结论</dc:subject>
  <dc:creator>AURA-RSP Research Prototype</dc:creator>
  <cp:keywords>AURA-RSP, eSIM, RSP, pySim, osmo-smdpp, security experiments</cp:keywords>
  <dc:description>generated by python-docx</dc:description>
  <cp:lastModifiedBy/>
  <cp:revision>1</cp:revision>
  <dcterms:created xsi:type="dcterms:W3CDTF">2013-12-23T23:15:00Z</dcterms:created>
  <dcterms:modified xsi:type="dcterms:W3CDTF">2013-12-23T23:15:00Z</dcterms:modified>
  <cp:category/>
</cp:coreProperties>
</file>