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287271"/>
          <w:sz w:val="32"/>
        </w:rPr>
        <w:t>CURIOUS LEARNING</w:t>
      </w:r>
    </w:p>
    <w:p>
      <w:pPr>
        <w:pStyle w:val="Title"/>
        <w:jc w:val="center"/>
      </w:pPr>
      <w:r>
        <w:t>Organization &amp; Project</w:t>
        <w:br/>
        <w:t>Knowledge Handbook</w:t>
      </w:r>
    </w:p>
    <w:p>
      <w:pPr>
        <w:jc w:val="center"/>
      </w:pPr>
      <w:r>
        <w:rPr>
          <w:color w:val="526579"/>
          <w:sz w:val="22"/>
        </w:rPr>
        <w:t>Mission • Products • Research • Localization • Distribution • Technology • Knowledge Systems</w:t>
      </w:r>
    </w:p>
    <w:p>
      <w:pPr>
        <w:spacing w:before="640"/>
        <w:jc w:val="center"/>
      </w:pPr>
      <w:r>
        <w:rPr>
          <w:i/>
        </w:rPr>
        <w:t>Prepared from publicly available sources</w:t>
        <w:br/>
        <w:t>Research snapshot: 14 October 2026</w:t>
      </w:r>
    </w:p>
    <w:p>
      <w:pPr>
        <w:spacing w:before="1300"/>
        <w:jc w:val="center"/>
      </w:pPr>
      <w:r>
        <w:t>Purpose: a consolidated starting point for organizational understanding and an AI-powered internal knowledge base.</w:t>
      </w:r>
    </w:p>
    <w:p>
      <w:r>
        <w:br w:type="page"/>
      </w:r>
    </w:p>
    <w:p>
      <w:pPr>
        <w:pStyle w:val="Heading1"/>
      </w:pPr>
      <w:r>
        <w:t>How to use this document</w:t>
      </w:r>
    </w:p>
    <w:p>
      <w:r>
        <w:t>This handbook consolidates publicly available information about Curious Learning (CL), its literacy mission, products, evidence base, distribution approach, localization resources, and public technical repositories. It is designed as a practical reference for team onboarding, project discovery, and planning a retrieval-augmented generation (RAG) knowledge assistant.</w:t>
      </w:r>
    </w:p>
    <w:p>
      <w:pPr>
        <w:spacing w:before="80" w:after="160"/>
        <w:ind w:left="259" w:right="259"/>
        <w:shd w:fill="EAF2F8"/>
      </w:pPr>
      <w:r>
        <w:rPr>
          <w:b/>
          <w:color w:val="17365D"/>
        </w:rPr>
        <w:t>Scope and reliability: this is a public-source synthesis, not an official internal policy document. Website figures and team pages can change. Claims attributed to research are described as Curious Learning presents them on its public pages; consult the original study before using a claim in formal evaluation, fundraising, or external communications.</w:t>
      </w:r>
    </w:p>
    <w:p>
      <w:pPr>
        <w:pStyle w:val="Heading1"/>
      </w:pPr>
      <w:r>
        <w:t>Contents</w:t>
      </w:r>
    </w:p>
    <w:p>
      <w:pPr>
        <w:pStyle w:val="ListBullet"/>
      </w:pPr>
      <w:r>
        <w:t>1. Executive overview</w:t>
      </w:r>
    </w:p>
    <w:p>
      <w:pPr>
        <w:pStyle w:val="ListBullet"/>
      </w:pPr>
      <w:r>
        <w:t>2. Vision, mission, and guiding principles</w:t>
      </w:r>
    </w:p>
    <w:p>
      <w:pPr>
        <w:pStyle w:val="ListBullet"/>
      </w:pPr>
      <w:r>
        <w:t>3. The problem and Curious Learning’s theory of change</w:t>
      </w:r>
    </w:p>
    <w:p>
      <w:pPr>
        <w:pStyle w:val="ListBullet"/>
      </w:pPr>
      <w:r>
        <w:t>4. Products and content portfolio</w:t>
      </w:r>
    </w:p>
    <w:p>
      <w:pPr>
        <w:pStyle w:val="ListBullet"/>
      </w:pPr>
      <w:r>
        <w:t>5. Localization and content production</w:t>
      </w:r>
    </w:p>
    <w:p>
      <w:pPr>
        <w:pStyle w:val="ListBullet"/>
      </w:pPr>
      <w:r>
        <w:t>6. Research, evidence, measurement, and analytics</w:t>
      </w:r>
    </w:p>
    <w:p>
      <w:pPr>
        <w:pStyle w:val="ListBullet"/>
      </w:pPr>
      <w:r>
        <w:t>7. Distribution strategy and partnerships</w:t>
      </w:r>
    </w:p>
    <w:p>
      <w:pPr>
        <w:pStyle w:val="ListBullet"/>
      </w:pPr>
      <w:r>
        <w:t>8. Public history and milestones</w:t>
      </w:r>
    </w:p>
    <w:p>
      <w:pPr>
        <w:pStyle w:val="ListBullet"/>
      </w:pPr>
      <w:r>
        <w:t>9. Technology and public developer resources</w:t>
      </w:r>
    </w:p>
    <w:p>
      <w:pPr>
        <w:pStyle w:val="ListBullet"/>
      </w:pPr>
      <w:r>
        <w:t>10. Data, privacy, and responsible use</w:t>
      </w:r>
    </w:p>
    <w:p>
      <w:pPr>
        <w:pStyle w:val="ListBullet"/>
      </w:pPr>
      <w:r>
        <w:t>11. Public organization and roles</w:t>
      </w:r>
    </w:p>
    <w:p>
      <w:pPr>
        <w:pStyle w:val="ListBullet"/>
      </w:pPr>
      <w:r>
        <w:t>12. Opportunity areas for a Curious Learning LLM / RAG assistant</w:t>
      </w:r>
    </w:p>
    <w:p>
      <w:pPr>
        <w:pStyle w:val="ListBullet"/>
      </w:pPr>
      <w:r>
        <w:t>13. Public-source directory and verification checklist</w:t>
      </w:r>
    </w:p>
    <w:p>
      <w:pPr>
        <w:pStyle w:val="Heading1"/>
      </w:pPr>
      <w:r>
        <w:t>1. Executive overview</w:t>
      </w:r>
    </w:p>
    <w:p>
      <w:r>
        <w:t>Curious Learning describes itself as a global literacy nonprofit that curates, localizes, distributes, and measures free, open-source mobile learning apps. Its core premise is that mobile devices can help children and other learners build foundational literacy skills, especially when learning content is available in a learner’s mother tongue and can be used independently.</w:t>
      </w:r>
    </w:p>
    <w:p>
      <w:r>
        <w:t>The organization’s public strategy connects four capabilities: (1) effective literacy content, (2) language and cultural localization, (3) distribution that puts apps in the hands of learners, and (4) measurement that helps the organization understand reach, engagement, and learning outcomes. Rather than relying only on building one product, CL also works with content developers and partners to make a broader library of learning resources accessible.</w:t>
      </w:r>
    </w:p>
    <w:p>
      <w:r>
        <w:t>The flagship product historically associated with CL is Feed the Monster. The more recent Curious Reader app brings multiple pieces of learning content together in a single library-style experience. CL’s public resources also include localization guidance, assessments, language availability information, technical repositories, and published research.</w:t>
      </w:r>
    </w:p>
    <w:p>
      <w:pPr>
        <w:pStyle w:val="Heading2"/>
      </w:pPr>
      <w:r>
        <w:t>Publicly reported scale</w:t>
      </w:r>
    </w:p>
    <w:p>
      <w:pPr>
        <w:pStyle w:val="ListBullet"/>
      </w:pPr>
      <w:r>
        <w:t>The What We Do page reports a Curious Reader content suite available in 60+ languages, more than 75 learning apps and games across CL and partners, more than 6 million downloads, and reach across all 227 countries and territories.</w:t>
      </w:r>
    </w:p>
    <w:p>
      <w:pPr>
        <w:pStyle w:val="ListBullet"/>
      </w:pPr>
      <w:r>
        <w:t>The homepage and What We Do page report different types of impact and cost metrics. For example, the site describes an average acquisition cost around US$0.50 per learner and approximately 92,000 downloads per month on the What We Do page.</w:t>
      </w:r>
    </w:p>
    <w:p>
      <w:pPr>
        <w:pStyle w:val="ListBullet"/>
      </w:pPr>
      <w:r>
        <w:t>The public timeline states that CL reached 5.5 million learners worldwide in 2023 and reports more than 1 million learners reached during 2024 in an external landscape report.</w:t>
      </w:r>
    </w:p>
    <w:p>
      <w:r>
        <w:t>These figures are time-sensitive and may use different definitions of a download, learner, reach, or acquisition. They should be treated as reported figures, not assumed to be directly comparable.</w:t>
      </w:r>
    </w:p>
    <w:p>
      <w:pPr>
        <w:ind w:left="216"/>
      </w:pPr>
      <w:r>
        <w:t xml:space="preserve">• </w:t>
      </w:r>
      <w:hyperlink r:id="rId11">
        <w:r>
          <w:rPr>
            <w:color w:val="0563C1"/>
            <w:u w:val="single"/>
          </w:rPr>
          <w:t>What We Do</w:t>
        </w:r>
      </w:hyperlink>
      <w:r>
        <w:t xml:space="preserve"> | Products and scale figures</w:t>
      </w:r>
    </w:p>
    <w:p>
      <w:pPr>
        <w:ind w:left="216"/>
      </w:pPr>
      <w:r>
        <w:t xml:space="preserve">• </w:t>
      </w:r>
      <w:hyperlink r:id="rId12">
        <w:r>
          <w:rPr>
            <w:color w:val="0563C1"/>
            <w:u w:val="single"/>
          </w:rPr>
          <w:t>Curious Learning homepage</w:t>
        </w:r>
      </w:hyperlink>
      <w:r>
        <w:t xml:space="preserve"> | Current public framing and cost-effectiveness claims</w:t>
      </w:r>
    </w:p>
    <w:p>
      <w:pPr>
        <w:ind w:left="216"/>
      </w:pPr>
      <w:r>
        <w:t xml:space="preserve">• </w:t>
      </w:r>
      <w:hyperlink r:id="rId13">
        <w:r>
          <w:rPr>
            <w:color w:val="0563C1"/>
            <w:u w:val="single"/>
          </w:rPr>
          <w:t>2024 FLN Landscape Report</w:t>
        </w:r>
      </w:hyperlink>
      <w:r>
        <w:t xml:space="preserve"> | External summary of 2024 highlights</w:t>
      </w:r>
    </w:p>
    <w:p>
      <w:pPr>
        <w:pStyle w:val="Heading1"/>
      </w:pPr>
      <w:r>
        <w:t>2. Vision, mission, and guiding principles</w:t>
      </w:r>
    </w:p>
    <w:p>
      <w:pPr>
        <w:pStyle w:val="Heading2"/>
      </w:pPr>
      <w:r>
        <w:t>Mission</w:t>
      </w:r>
    </w:p>
    <w:p>
      <w:r>
        <w:t>Curious Learning’s mission statement is: “Give everyone the opportunity to learn to read.” The organization frames literacy as a foundation for further learning and as a human right. Its public mission page emphasizes open solutions that can be used by people who might otherwise lack access to effective education.</w:t>
      </w:r>
    </w:p>
    <w:p>
      <w:pPr>
        <w:pStyle w:val="Heading2"/>
      </w:pPr>
      <w:r>
        <w:t>Vision and long-term ambition</w:t>
      </w:r>
    </w:p>
    <w:p>
      <w:r>
        <w:t>The organization’s public materials describe an ambition to eradicate global illiteracy by using scalable, accessible learning solutions. A distinctive principle on the mission page is that Curious Learning should “only exist as long as needed”: if a generation becomes literate and illiteracy is no longer a systemic problem, the organization’s work should ultimately become unnecessary.</w:t>
      </w:r>
    </w:p>
    <w:p>
      <w:pPr>
        <w:pStyle w:val="Heading2"/>
      </w:pPr>
      <w:r>
        <w:t>Guiding principles</w:t>
      </w:r>
    </w:p>
    <w:p>
      <w:r>
        <w:rPr>
          <w:b/>
        </w:rPr>
        <w:t xml:space="preserve">Education is a human right: </w:t>
      </w:r>
      <w:r>
        <w:t>Access to foundational literacy should not depend on where a learner lives or their circumstances.</w:t>
      </w:r>
    </w:p>
    <w:p>
      <w:r>
        <w:rPr>
          <w:b/>
        </w:rPr>
        <w:t xml:space="preserve">Empower others: </w:t>
      </w:r>
      <w:r>
        <w:t>Give learners, families, local organizations, and community partners tools to activate learning journeys.</w:t>
      </w:r>
    </w:p>
    <w:p>
      <w:r>
        <w:rPr>
          <w:b/>
        </w:rPr>
        <w:t xml:space="preserve">Focus on the learner: </w:t>
      </w:r>
      <w:r>
        <w:t>Prioritize the needs of the person learning to read when stakeholder priorities conflict.</w:t>
      </w:r>
    </w:p>
    <w:p>
      <w:r>
        <w:rPr>
          <w:b/>
        </w:rPr>
        <w:t xml:space="preserve">Collaborate instead of compete: </w:t>
      </w:r>
      <w:r>
        <w:t>Integrate effective, accessible solutions and work with existing innovators and communities.</w:t>
      </w:r>
    </w:p>
    <w:p>
      <w:r>
        <w:rPr>
          <w:b/>
        </w:rPr>
        <w:t xml:space="preserve">Constantly measure effectiveness: </w:t>
      </w:r>
      <w:r>
        <w:t>Use data and research to assess results and improve content, distribution, and learning experiences.</w:t>
      </w:r>
    </w:p>
    <w:p>
      <w:pPr>
        <w:ind w:left="216"/>
      </w:pPr>
      <w:r>
        <w:t xml:space="preserve">• </w:t>
      </w:r>
      <w:hyperlink r:id="rId14">
        <w:r>
          <w:rPr>
            <w:color w:val="0563C1"/>
            <w:u w:val="single"/>
          </w:rPr>
          <w:t>Our Mission</w:t>
        </w:r>
      </w:hyperlink>
      <w:r>
        <w:t xml:space="preserve"> | Mission and principles</w:t>
      </w:r>
    </w:p>
    <w:p>
      <w:pPr>
        <w:ind w:left="216"/>
      </w:pPr>
      <w:r>
        <w:t xml:space="preserve">• </w:t>
      </w:r>
      <w:hyperlink r:id="rId15">
        <w:r>
          <w:rPr>
            <w:color w:val="0563C1"/>
            <w:u w:val="single"/>
          </w:rPr>
          <w:t>About Us</w:t>
        </w:r>
      </w:hyperlink>
      <w:r>
        <w:t xml:space="preserve"> | Problem framing and organizational approach</w:t>
      </w:r>
    </w:p>
    <w:p>
      <w:pPr>
        <w:pStyle w:val="Heading1"/>
      </w:pPr>
      <w:r>
        <w:t>3. The problem and Curious Learning’s theory of change</w:t>
      </w:r>
    </w:p>
    <w:p>
      <w:pPr>
        <w:pStyle w:val="Heading2"/>
      </w:pPr>
      <w:r>
        <w:t>The problem CL is addressing</w:t>
      </w:r>
    </w:p>
    <w:p>
      <w:r>
        <w:t>CL’s public materials frame illiteracy as a large-scale barrier to opportunity. They highlight that many children do not achieve minimum literacy proficiency, that access to effective early learning is unequal, and that literacy is linked to later educational, economic, health, and social outcomes. Specific statistics differ by page and publication date, so current figures should be checked against their original sources before reuse.</w:t>
      </w:r>
    </w:p>
    <w:p>
      <w:pPr>
        <w:pStyle w:val="Heading2"/>
      </w:pPr>
      <w:r>
        <w:t>Theory of change</w:t>
      </w:r>
    </w:p>
    <w:p>
      <w:pPr>
        <w:pStyle w:val="ListNumber"/>
      </w:pPr>
      <w:r>
        <w:t>Create or curate effective, engaging early-literacy content grounded in research.</w:t>
      </w:r>
    </w:p>
    <w:p>
      <w:pPr>
        <w:pStyle w:val="ListNumber"/>
      </w:pPr>
      <w:r>
        <w:t>Localize content so that learners can begin building reading skills in their home or strongest language.</w:t>
      </w:r>
    </w:p>
    <w:p>
      <w:pPr>
        <w:pStyle w:val="ListNumber"/>
      </w:pPr>
      <w:r>
        <w:t>Make the content free and easy to access, including offline use after download where the product supports it.</w:t>
      </w:r>
    </w:p>
    <w:p>
      <w:pPr>
        <w:pStyle w:val="ListNumber"/>
      </w:pPr>
      <w:r>
        <w:t>Use parent-facing campaigns, community advocates, institutions, and distribution partners to help families discover and use the apps.</w:t>
      </w:r>
    </w:p>
    <w:p>
      <w:pPr>
        <w:pStyle w:val="ListNumber"/>
      </w:pPr>
      <w:r>
        <w:t>Measure app usage and learning progress to identify what is working and where content or distribution should improve.</w:t>
      </w:r>
    </w:p>
    <w:p>
      <w:pPr>
        <w:pStyle w:val="ListNumber"/>
      </w:pPr>
      <w:r>
        <w:t>Use evidence and iteration to improve impact while keeping the model scalable and affordable.</w:t>
      </w:r>
    </w:p>
    <w:p>
      <w:pPr>
        <w:pStyle w:val="Heading2"/>
      </w:pPr>
      <w:r>
        <w:t>Why mobile apps?</w:t>
      </w:r>
    </w:p>
    <w:p>
      <w:r>
        <w:t>CL’s approach uses existing smartphone infrastructure rather than depending exclusively on building schools or distributing dedicated devices. The organization presents mobile apps as a low-cost way to reach learners, support self-guided practice, and study learning activity at scale. This is a complement to education systems and caregivers, not proof that apps alone solve every literacy barrier.</w:t>
      </w:r>
    </w:p>
    <w:p>
      <w:pPr>
        <w:pStyle w:val="Heading2"/>
      </w:pPr>
      <w:r>
        <w:t>Why the mother tongue matters</w:t>
      </w:r>
    </w:p>
    <w:p>
      <w:r>
        <w:t>CL emphasizes that children learn to read most effectively when early literacy content is available in a language they understand. Localization is therefore a core part of the educational model, not just a translation step. It can involve language-specific text, audio, vocabulary, phonics decisions, assessments, and cultural review.</w:t>
      </w:r>
    </w:p>
    <w:p>
      <w:pPr>
        <w:ind w:left="216"/>
      </w:pPr>
      <w:r>
        <w:t xml:space="preserve">• </w:t>
      </w:r>
      <w:hyperlink r:id="rId15">
        <w:r>
          <w:rPr>
            <w:color w:val="0563C1"/>
            <w:u w:val="single"/>
          </w:rPr>
          <w:t>About Us</w:t>
        </w:r>
      </w:hyperlink>
      <w:r>
        <w:t xml:space="preserve"> | Problem and approach</w:t>
      </w:r>
    </w:p>
    <w:p>
      <w:pPr>
        <w:ind w:left="216"/>
      </w:pPr>
      <w:r>
        <w:t xml:space="preserve">• </w:t>
      </w:r>
      <w:hyperlink r:id="rId14">
        <w:r>
          <w:rPr>
            <w:color w:val="0563C1"/>
            <w:u w:val="single"/>
          </w:rPr>
          <w:t>Our Mission</w:t>
        </w:r>
      </w:hyperlink>
      <w:r>
        <w:t xml:space="preserve"> | Learner-first approach</w:t>
      </w:r>
    </w:p>
    <w:p>
      <w:pPr>
        <w:pStyle w:val="Heading1"/>
      </w:pPr>
      <w:r>
        <w:t>4. Products and content portfolio</w:t>
      </w:r>
    </w:p>
    <w:p>
      <w:pPr>
        <w:pStyle w:val="Heading2"/>
      </w:pPr>
      <w:r>
        <w:t>Curious Reader</w:t>
      </w:r>
    </w:p>
    <w:p>
      <w:r>
        <w:t>Curious Reader is presented as a central library-style app containing multiple games and stories. Its public product page describes a free, self-guided experience designed to help children learn to read in their mother tongue. The page highlights offline play after download, no ads or in-app purchases, research-based games, and regular content updates.</w:t>
      </w:r>
    </w:p>
    <w:p>
      <w:pPr>
        <w:pStyle w:val="ListBullet"/>
      </w:pPr>
      <w:r>
        <w:t>Purpose: bring multiple learning experiences into one place and help learners follow a self-directed literacy journey.</w:t>
      </w:r>
    </w:p>
    <w:p>
      <w:pPr>
        <w:pStyle w:val="ListBullet"/>
      </w:pPr>
      <w:r>
        <w:t>Content examples shown publicly include interactive stories such as “Hide and Seek,” “Let’s Fly,” “Colours,” “The Lost Doll,” “Tall and Short,” and “The Bee and the Elephant.”</w:t>
      </w:r>
    </w:p>
    <w:p>
      <w:pPr>
        <w:pStyle w:val="ListBullet"/>
      </w:pPr>
      <w:r>
        <w:t>Product-level considerations: content discovery, language selection, learner progression, accessibility, low-connectivity operation, and the ability to add or update content over time.</w:t>
      </w:r>
    </w:p>
    <w:p>
      <w:pPr>
        <w:ind w:left="216"/>
      </w:pPr>
      <w:r>
        <w:t xml:space="preserve">• </w:t>
      </w:r>
      <w:hyperlink r:id="rId16">
        <w:r>
          <w:rPr>
            <w:color w:val="0563C1"/>
            <w:u w:val="single"/>
          </w:rPr>
          <w:t>Curious Reader</w:t>
        </w:r>
      </w:hyperlink>
      <w:r>
        <w:t xml:space="preserve"> | Public product page</w:t>
      </w:r>
    </w:p>
    <w:p>
      <w:pPr>
        <w:pStyle w:val="Heading2"/>
      </w:pPr>
      <w:r>
        <w:t>Feed the Monster</w:t>
      </w:r>
    </w:p>
    <w:p>
      <w:r>
        <w:t>Feed the Monster is a game-based early-literacy app. The public JavaScript repository describes phonics puzzles, sound-only levels, collectible and evolvable monsters, and design goals that include socio-emotional development. It targets foundational skills such as phonological awareness, letter recognition, phonics, vocabulary, and sight-word reading.</w:t>
      </w:r>
    </w:p>
    <w:p>
      <w:pPr>
        <w:pStyle w:val="ListBullet"/>
      </w:pPr>
      <w:r>
        <w:t>Origins: the original Arabic app was developed through the EduApp4Syria competition, funded by the Norwegian Ministry of Foreign Affairs, with Apps Factory, the Center for Educational Technology, and the International Rescue Committee identified in the repository as original collaborators.</w:t>
      </w:r>
    </w:p>
    <w:p>
      <w:pPr>
        <w:pStyle w:val="ListBullet"/>
      </w:pPr>
      <w:r>
        <w:t>CL subsequently adapted the product and expanded localization into many languages.</w:t>
      </w:r>
    </w:p>
    <w:p>
      <w:pPr>
        <w:pStyle w:val="ListBullet"/>
      </w:pPr>
      <w:r>
        <w:t>The public repository includes guidance for creating language versions using pre-populated JSON files and language-specific audio assets.</w:t>
      </w:r>
    </w:p>
    <w:p>
      <w:pPr>
        <w:ind w:left="216"/>
      </w:pPr>
      <w:r>
        <w:t xml:space="preserve">• </w:t>
      </w:r>
      <w:hyperlink r:id="rId17">
        <w:r>
          <w:rPr>
            <w:color w:val="0563C1"/>
            <w:u w:val="single"/>
          </w:rPr>
          <w:t>Feed the Monster JS repository</w:t>
        </w:r>
      </w:hyperlink>
      <w:r>
        <w:t xml:space="preserve"> | Product description and language-version guidance</w:t>
      </w:r>
    </w:p>
    <w:p>
      <w:pPr>
        <w:ind w:left="216"/>
      </w:pPr>
      <w:r>
        <w:t xml:space="preserve">• </w:t>
      </w:r>
      <w:hyperlink r:id="rId18">
        <w:r>
          <w:rPr>
            <w:color w:val="0563C1"/>
            <w:u w:val="single"/>
          </w:rPr>
          <w:t>Feed the Monster core repository</w:t>
        </w:r>
      </w:hyperlink>
      <w:r>
        <w:t xml:space="preserve"> | Core game and localization architecture</w:t>
      </w:r>
    </w:p>
    <w:p>
      <w:pPr>
        <w:pStyle w:val="Heading2"/>
      </w:pPr>
      <w:r>
        <w:t>Interactive books and partner content</w:t>
      </w:r>
    </w:p>
    <w:p>
      <w:r>
        <w:t>CL’s timeline records a first interactive book launched with Ubongo in 2019 and an expanded offering with Global Digital Library (GDL), including a historical reference to 45 languages and 2,500 books. The 2024 external landscape report describes Curious Reader as combining Feed the Monster with interactive stories. These figures are historical snapshots, not necessarily the current content count.</w:t>
      </w:r>
    </w:p>
    <w:p>
      <w:pPr>
        <w:ind w:left="216"/>
      </w:pPr>
      <w:r>
        <w:t xml:space="preserve">• </w:t>
      </w:r>
      <w:hyperlink r:id="rId19">
        <w:r>
          <w:rPr>
            <w:color w:val="0563C1"/>
            <w:u w:val="single"/>
          </w:rPr>
          <w:t>CL timeline</w:t>
        </w:r>
      </w:hyperlink>
      <w:r>
        <w:t xml:space="preserve"> | Historical product milestones</w:t>
      </w:r>
    </w:p>
    <w:p>
      <w:pPr>
        <w:ind w:left="216"/>
      </w:pPr>
      <w:r>
        <w:t xml:space="preserve">• </w:t>
      </w:r>
      <w:hyperlink r:id="rId13">
        <w:r>
          <w:rPr>
            <w:color w:val="0563C1"/>
            <w:u w:val="single"/>
          </w:rPr>
          <w:t>2024 FLN Landscape Report</w:t>
        </w:r>
      </w:hyperlink>
      <w:r>
        <w:t xml:space="preserve"> | Curious Reader and 2024 highlights</w:t>
      </w:r>
    </w:p>
    <w:p>
      <w:pPr>
        <w:pStyle w:val="Heading2"/>
      </w:pPr>
      <w:r>
        <w:t>Other public tools and resources</w:t>
      </w:r>
    </w:p>
    <w:p>
      <w:pPr>
        <w:pStyle w:val="ListBullet"/>
      </w:pPr>
      <w:r>
        <w:t>Localization guide for developers creating new language versions.</w:t>
      </w:r>
    </w:p>
    <w:p>
      <w:pPr>
        <w:pStyle w:val="ListBullet"/>
      </w:pPr>
      <w:r>
        <w:t>Content rollout instructions for the Curious Reader development workflow.</w:t>
      </w:r>
    </w:p>
    <w:p>
      <w:pPr>
        <w:pStyle w:val="ListBullet"/>
      </w:pPr>
      <w:r>
        <w:t>Example learning assessments used in CL apps.</w:t>
      </w:r>
    </w:p>
    <w:p>
      <w:pPr>
        <w:pStyle w:val="ListBullet"/>
      </w:pPr>
      <w:r>
        <w:t>Public language availability list.</w:t>
      </w:r>
    </w:p>
    <w:p>
      <w:pPr>
        <w:pStyle w:val="ListBullet"/>
      </w:pPr>
      <w:r>
        <w:t>A coaching app privacy policy describes an app intended for adult community literacy coaches to monitor learning activity in Curious Reader.</w:t>
      </w:r>
    </w:p>
    <w:p>
      <w:pPr>
        <w:ind w:left="216"/>
      </w:pPr>
      <w:r>
        <w:t xml:space="preserve">• </w:t>
      </w:r>
      <w:hyperlink r:id="rId20">
        <w:r>
          <w:rPr>
            <w:color w:val="0563C1"/>
            <w:u w:val="single"/>
          </w:rPr>
          <w:t>Resources</w:t>
        </w:r>
      </w:hyperlink>
      <w:r>
        <w:t xml:space="preserve"> | Resource index</w:t>
      </w:r>
    </w:p>
    <w:p>
      <w:pPr>
        <w:ind w:left="216"/>
      </w:pPr>
      <w:r>
        <w:t xml:space="preserve">• </w:t>
      </w:r>
      <w:hyperlink r:id="rId21">
        <w:r>
          <w:rPr>
            <w:color w:val="0563C1"/>
            <w:u w:val="single"/>
          </w:rPr>
          <w:t>Coaching App Privacy Policy</w:t>
        </w:r>
      </w:hyperlink>
      <w:r>
        <w:t xml:space="preserve"> | Coach-facing workflow and data boundaries</w:t>
      </w:r>
    </w:p>
    <w:p>
      <w:pPr>
        <w:pStyle w:val="Heading1"/>
      </w:pPr>
      <w:r>
        <w:t>5. Localization and content production</w:t>
      </w:r>
    </w:p>
    <w:p>
      <w:r>
        <w:t>Localization is a core operational capability because CL’s product model depends on offering useful literacy content across languages and communities. The public website links developers to localization guidance, language availability, content rollout documentation, and repositories for Feed the Monster and Curious Reader.</w:t>
      </w:r>
    </w:p>
    <w:p>
      <w:pPr>
        <w:pStyle w:val="Heading2"/>
      </w:pPr>
      <w:r>
        <w:t>A practical localization lifecycle</w:t>
      </w:r>
    </w:p>
    <w:p>
      <w:pPr>
        <w:pStyle w:val="ListNumber"/>
      </w:pPr>
      <w:r>
        <w:t>Define the target language, locale, dialect, audience, and learning objectives.</w:t>
      </w:r>
    </w:p>
    <w:p>
      <w:pPr>
        <w:pStyle w:val="ListNumber"/>
      </w:pPr>
      <w:r>
        <w:t>Prepare or validate the language-specific content dataset, including letters, words, prompts, and progression metadata.</w:t>
      </w:r>
    </w:p>
    <w:p>
      <w:pPr>
        <w:pStyle w:val="ListNumber"/>
      </w:pPr>
      <w:r>
        <w:t>Create or source audio assets from appropriate speakers and verify pronunciation, language identity, recording quality, and licensing.</w:t>
      </w:r>
    </w:p>
    <w:p>
      <w:pPr>
        <w:pStyle w:val="ListNumber"/>
      </w:pPr>
      <w:r>
        <w:t>Review orthography, spelling, vocabulary, letter-to-sound relationships, and cultural appropriateness with qualified language reviewers.</w:t>
      </w:r>
    </w:p>
    <w:p>
      <w:pPr>
        <w:pStyle w:val="ListNumber"/>
      </w:pPr>
      <w:r>
        <w:t>Validate the mapping between content records and assets, including filenames, identifiers, JSON schema, and expected directory structure.</w:t>
      </w:r>
    </w:p>
    <w:p>
      <w:pPr>
        <w:pStyle w:val="ListNumber"/>
      </w:pPr>
      <w:r>
        <w:t>Build or package the language version and test it on supported devices, including offline behavior and missing-asset scenarios.</w:t>
      </w:r>
    </w:p>
    <w:p>
      <w:pPr>
        <w:pStyle w:val="ListNumber"/>
      </w:pPr>
      <w:r>
        <w:t>Run pedagogical, linguistic, accessibility, and functional QA before release.</w:t>
      </w:r>
    </w:p>
    <w:p>
      <w:pPr>
        <w:pStyle w:val="ListNumber"/>
      </w:pPr>
      <w:r>
        <w:t>Publish the language, monitor errors and engagement, and feed findings back into the content pipeline.</w:t>
      </w:r>
    </w:p>
    <w:p>
      <w:pPr>
        <w:pStyle w:val="Heading2"/>
      </w:pPr>
      <w:r>
        <w:t>Language QA checks worth standardizing</w:t>
      </w:r>
    </w:p>
    <w:p>
      <w:pPr>
        <w:pStyle w:val="ListBullet"/>
      </w:pPr>
      <w:r>
        <w:t>Filename-to-content consistency: does the audio filename correspond to the expected word, letter, prompt, or asset ID?</w:t>
      </w:r>
    </w:p>
    <w:p>
      <w:pPr>
        <w:pStyle w:val="ListBullet"/>
      </w:pPr>
      <w:r>
        <w:t>Language consistency: is the spoken content actually in the intended language and dialect?</w:t>
      </w:r>
    </w:p>
    <w:p>
      <w:pPr>
        <w:pStyle w:val="ListBullet"/>
      </w:pPr>
      <w:r>
        <w:t>Orthographic validity: does the text use the expected script, spelling, diacritics, and Unicode normalization?</w:t>
      </w:r>
    </w:p>
    <w:p>
      <w:pPr>
        <w:pStyle w:val="ListBullet"/>
      </w:pPr>
      <w:r>
        <w:t>Asset integrity: file exists, decodes correctly, has non-zero duration, and meets expected format and size limits.</w:t>
      </w:r>
    </w:p>
    <w:p>
      <w:pPr>
        <w:pStyle w:val="ListBullet"/>
      </w:pPr>
      <w:r>
        <w:t>Duplicate and mismatch detection: identify repeated assets, wrong-language audio, stale files, and collisions between similar words.</w:t>
      </w:r>
    </w:p>
    <w:p>
      <w:pPr>
        <w:pStyle w:val="ListBullet"/>
      </w:pPr>
      <w:r>
        <w:t>Human review queue: distinguish confident automated checks from ambiguous cases requiring a native speaker.</w:t>
      </w:r>
    </w:p>
    <w:p>
      <w:pPr>
        <w:pStyle w:val="ListBullet"/>
      </w:pPr>
      <w:r>
        <w:t>Traceability: preserve source, reviewer, model/tool version, confidence, decision, and correction history.</w:t>
      </w:r>
    </w:p>
    <w:p>
      <w:pPr>
        <w:spacing w:before="80" w:after="160"/>
        <w:ind w:left="259" w:right="259"/>
        <w:shd w:fill="EAF2F8"/>
      </w:pPr>
      <w:r>
        <w:rPr>
          <w:b/>
          <w:color w:val="17365D"/>
        </w:rPr>
        <w:t>Automation opportunity: a language-content validation agent could scan hundreds of audio assets, compare filenames and metadata with expected words, flag likely language or pronunciation mismatches, and produce a human-review report. It should not silently overwrite approved content.</w:t>
      </w:r>
    </w:p>
    <w:p>
      <w:pPr>
        <w:ind w:left="216"/>
      </w:pPr>
      <w:r>
        <w:t xml:space="preserve">• </w:t>
      </w:r>
      <w:hyperlink r:id="rId20">
        <w:r>
          <w:rPr>
            <w:color w:val="0563C1"/>
            <w:u w:val="single"/>
          </w:rPr>
          <w:t>App Localization Guide and rollout resources</w:t>
        </w:r>
      </w:hyperlink>
      <w:r>
        <w:t xml:space="preserve"> | Official resource index</w:t>
      </w:r>
    </w:p>
    <w:p>
      <w:pPr>
        <w:ind w:left="216"/>
      </w:pPr>
      <w:r>
        <w:t xml:space="preserve">• </w:t>
      </w:r>
      <w:hyperlink r:id="rId17">
        <w:r>
          <w:rPr>
            <w:color w:val="0563C1"/>
            <w:u w:val="single"/>
          </w:rPr>
          <w:t>Feed the Monster JS repository</w:t>
        </w:r>
      </w:hyperlink>
      <w:r>
        <w:t xml:space="preserve"> | Adding language versions</w:t>
      </w:r>
    </w:p>
    <w:p>
      <w:pPr>
        <w:ind w:left="216"/>
      </w:pPr>
      <w:r>
        <w:t xml:space="preserve">• </w:t>
      </w:r>
      <w:hyperlink r:id="rId22">
        <w:r>
          <w:rPr>
            <w:color w:val="0563C1"/>
            <w:u w:val="single"/>
          </w:rPr>
          <w:t>Feed the Monster language packs</w:t>
        </w:r>
      </w:hyperlink>
      <w:r>
        <w:t xml:space="preserve"> | Public language-pack repository</w:t>
      </w:r>
    </w:p>
    <w:p>
      <w:pPr>
        <w:pStyle w:val="Heading1"/>
      </w:pPr>
      <w:r>
        <w:t>6. Research, evidence, measurement, and analytics</w:t>
      </w:r>
    </w:p>
    <w:p>
      <w:pPr>
        <w:pStyle w:val="Heading2"/>
      </w:pPr>
      <w:r>
        <w:t>Research-informed design</w:t>
      </w:r>
    </w:p>
    <w:p>
      <w:r>
        <w:t>CL’s public materials describe its work as grounded in literacy research and iterative evaluation. Its timeline recounts early studies involving researchers associated with MIT, Tufts, and Georgia State University that explored whether children could learn foundational reading skills using mobile devices, including remote settings with limited access to formal schooling.</w:t>
      </w:r>
    </w:p>
    <w:p>
      <w:pPr>
        <w:pStyle w:val="Heading2"/>
      </w:pPr>
      <w:r>
        <w:t>Publicly referenced evidence</w:t>
      </w:r>
    </w:p>
    <w:p>
      <w:pPr>
        <w:pStyle w:val="ListBullet"/>
      </w:pPr>
      <w:r>
        <w:t>A World Vision impact and technical evaluation of Feed the Monster is linked from CL’s resources page. CL’s public site summarizes findings as approximately 22 hours of play corresponding to around two months of literacy learning in a well-resourced school. The exact study design, sample, comparison group, and outcome measures should be checked in the original report before quoting the result.</w:t>
      </w:r>
    </w:p>
    <w:p>
      <w:pPr>
        <w:pStyle w:val="ListBullet"/>
      </w:pPr>
      <w:r>
        <w:t>CL’s resources page links to a 2022 World Bank study involving 9,000 homes in northern Nigeria and a one-year follow-up. CL summarizes the study as finding that early-literacy apps were second only to one-on-one tutoring among the compared approaches. Consult the study directly for the intervention design and limitations.</w:t>
      </w:r>
    </w:p>
    <w:p>
      <w:pPr>
        <w:pStyle w:val="ListBullet"/>
      </w:pPr>
      <w:r>
        <w:t>CL’s public timeline describes embedded learning assessment and dashboards for learning measurement as developments in 2024.</w:t>
      </w:r>
    </w:p>
    <w:p>
      <w:pPr>
        <w:pStyle w:val="Heading2"/>
      </w:pPr>
      <w:r>
        <w:t>Measurement concepts</w:t>
      </w:r>
    </w:p>
    <w:p>
      <w:pPr>
        <w:pStyle w:val="ListBullet"/>
      </w:pPr>
      <w:r>
        <w:t>Reach: impressions, installs, active users, countries/regions, and campaign-level learner acquisition.</w:t>
      </w:r>
    </w:p>
    <w:p>
      <w:pPr>
        <w:pStyle w:val="ListBullet"/>
      </w:pPr>
      <w:r>
        <w:t>Engagement: sessions, time in app, activity completion, repeat use, and content-level interactions.</w:t>
      </w:r>
    </w:p>
    <w:p>
      <w:pPr>
        <w:pStyle w:val="ListBullet"/>
      </w:pPr>
      <w:r>
        <w:t>Learning: performance on literacy skills and assessment items, progression through levels, and change over time.</w:t>
      </w:r>
    </w:p>
    <w:p>
      <w:pPr>
        <w:pStyle w:val="ListBullet"/>
      </w:pPr>
      <w:r>
        <w:t>Distribution efficiency: campaign cost, cost per install or learner reached, partner contribution, and conversion funnel.</w:t>
      </w:r>
    </w:p>
    <w:p>
      <w:pPr>
        <w:pStyle w:val="ListBullet"/>
      </w:pPr>
      <w:r>
        <w:t>Content quality: errors, drop-off points, localization defects, asset failure rates, and performance by language or content pack.</w:t>
      </w:r>
    </w:p>
    <w:p>
      <w:pPr>
        <w:pStyle w:val="ListBullet"/>
      </w:pPr>
      <w:r>
        <w:t>Equity and access: outcomes by language, region, connectivity, device constraints, and distribution channel where data collection is appropriate and ethical.</w:t>
      </w:r>
    </w:p>
    <w:p>
      <w:pPr>
        <w:pStyle w:val="Heading2"/>
      </w:pPr>
      <w:r>
        <w:t>Interpretation cautions</w:t>
      </w:r>
    </w:p>
    <w:p>
      <w:r>
        <w:t>Downloads are not the same as unique learners, active learners, or demonstrated learning gains. Cost per learner depends on the definition of a learner and the attribution window. Research findings can be context-specific, and summary claims should not replace the underlying study. A strong internal knowledge base should store both the public summary and the original research document, with publication date, methods, sample, outcomes, and limitations.</w:t>
      </w:r>
    </w:p>
    <w:p>
      <w:pPr>
        <w:ind w:left="216"/>
      </w:pPr>
      <w:r>
        <w:t xml:space="preserve">• </w:t>
      </w:r>
      <w:hyperlink r:id="rId20">
        <w:r>
          <w:rPr>
            <w:color w:val="0563C1"/>
            <w:u w:val="single"/>
          </w:rPr>
          <w:t>Resources</w:t>
        </w:r>
      </w:hyperlink>
      <w:r>
        <w:t xml:space="preserve"> | Research and assessment links</w:t>
      </w:r>
    </w:p>
    <w:p>
      <w:pPr>
        <w:ind w:left="216"/>
      </w:pPr>
      <w:r>
        <w:t xml:space="preserve">• </w:t>
      </w:r>
      <w:hyperlink r:id="rId19">
        <w:r>
          <w:rPr>
            <w:color w:val="0563C1"/>
            <w:u w:val="single"/>
          </w:rPr>
          <w:t>Timeline</w:t>
        </w:r>
      </w:hyperlink>
      <w:r>
        <w:t xml:space="preserve"> | Research and measurement milestones</w:t>
      </w:r>
    </w:p>
    <w:p>
      <w:pPr>
        <w:ind w:left="216"/>
      </w:pPr>
      <w:r>
        <w:t xml:space="preserve">• </w:t>
      </w:r>
      <w:hyperlink r:id="rId11">
        <w:r>
          <w:rPr>
            <w:color w:val="0563C1"/>
            <w:u w:val="single"/>
          </w:rPr>
          <w:t>What We Do</w:t>
        </w:r>
      </w:hyperlink>
      <w:r>
        <w:t xml:space="preserve"> | Public impact summaries</w:t>
      </w:r>
    </w:p>
    <w:p>
      <w:pPr>
        <w:pStyle w:val="Heading1"/>
      </w:pPr>
      <w:r>
        <w:t>7. Distribution strategy and partnerships</w:t>
      </w:r>
    </w:p>
    <w:p>
      <w:r>
        <w:t>CL’s model treats distribution as a core product capability. Making a good app available is not enough: families need to learn that it exists, be able to install it, and have reasons and support to use it. CL describes direct-to-parent awareness campaigns, social media, traditional awareness channels, local advocates, community facilitators, institutional partnerships, and preloaded-device approaches.</w:t>
      </w:r>
    </w:p>
    <w:p>
      <w:pPr>
        <w:pStyle w:val="Heading2"/>
      </w:pPr>
      <w:r>
        <w:t>Distribution channels described publicly</w:t>
      </w:r>
    </w:p>
    <w:p>
      <w:pPr>
        <w:pStyle w:val="ListBullet"/>
      </w:pPr>
      <w:r>
        <w:t>Direct-to-parent digital campaigns, including experiments across country-language-platform combinations.</w:t>
      </w:r>
    </w:p>
    <w:p>
      <w:pPr>
        <w:pStyle w:val="ListBullet"/>
      </w:pPr>
      <w:r>
        <w:t>Community advocates and facilitators who introduce content and support parents.</w:t>
      </w:r>
    </w:p>
    <w:p>
      <w:pPr>
        <w:pStyle w:val="ListBullet"/>
      </w:pPr>
      <w:r>
        <w:t>NGOs, schools, governments, and other organizations that can reach families through established communication channels.</w:t>
      </w:r>
    </w:p>
    <w:p>
      <w:pPr>
        <w:pStyle w:val="ListBullet"/>
      </w:pPr>
      <w:r>
        <w:t>Partnerships with app developers and content organizations to include more learning resources in the wider library.</w:t>
      </w:r>
    </w:p>
    <w:p>
      <w:pPr>
        <w:pStyle w:val="ListBullet"/>
      </w:pPr>
      <w:r>
        <w:t>Device distribution or preloading for contexts where device access is a barrier.</w:t>
      </w:r>
    </w:p>
    <w:p>
      <w:pPr>
        <w:pStyle w:val="Heading2"/>
      </w:pPr>
      <w:r>
        <w:t>Examples and milestones</w:t>
      </w:r>
    </w:p>
    <w:p>
      <w:pPr>
        <w:pStyle w:val="ListBullet"/>
      </w:pPr>
      <w:r>
        <w:t>CL reports reaching 100,000 Ukrainian learners within the first 100 days after the invasion began.</w:t>
      </w:r>
    </w:p>
    <w:p>
      <w:pPr>
        <w:pStyle w:val="ListBullet"/>
      </w:pPr>
      <w:r>
        <w:t>Its timeline reports global reach across all 227 countries and territories in 2021.</w:t>
      </w:r>
    </w:p>
    <w:p>
      <w:pPr>
        <w:pStyle w:val="ListBullet"/>
      </w:pPr>
      <w:r>
        <w:t>The What We Do page describes experimentation with more than 100 country-language-platform combinations and an average acquisition cost around US$0.50 per learner.</w:t>
      </w:r>
    </w:p>
    <w:p>
      <w:pPr>
        <w:pStyle w:val="Heading2"/>
      </w:pPr>
      <w:r>
        <w:t>Partnership pathways</w:t>
      </w:r>
    </w:p>
    <w:p>
      <w:r>
        <w:t>The public contact page invites app developers, localization contributors, funders, regional supporters, distribution partners, and research collaborators to get involved. This reflects an ecosystem approach: CL can extend its reach by integrating useful content and working with organizations that already have trust or distribution access in target communities.</w:t>
      </w:r>
    </w:p>
    <w:p>
      <w:pPr>
        <w:ind w:left="216"/>
      </w:pPr>
      <w:r>
        <w:t xml:space="preserve">• </w:t>
      </w:r>
      <w:hyperlink r:id="rId11">
        <w:r>
          <w:rPr>
            <w:color w:val="0563C1"/>
            <w:u w:val="single"/>
          </w:rPr>
          <w:t>What We Do</w:t>
        </w:r>
      </w:hyperlink>
      <w:r>
        <w:t xml:space="preserve"> | Distribution model and case studies</w:t>
      </w:r>
    </w:p>
    <w:p>
      <w:pPr>
        <w:ind w:left="216"/>
      </w:pPr>
      <w:r>
        <w:t xml:space="preserve">• </w:t>
      </w:r>
      <w:hyperlink r:id="rId23">
        <w:r>
          <w:rPr>
            <w:color w:val="0563C1"/>
            <w:u w:val="single"/>
          </w:rPr>
          <w:t>Contact Us</w:t>
        </w:r>
      </w:hyperlink>
      <w:r>
        <w:t xml:space="preserve"> | Public partnership pathways</w:t>
      </w:r>
    </w:p>
    <w:p>
      <w:pPr>
        <w:ind w:left="216"/>
      </w:pPr>
      <w:r>
        <w:t xml:space="preserve">• </w:t>
      </w:r>
      <w:hyperlink r:id="rId19">
        <w:r>
          <w:rPr>
            <w:color w:val="0563C1"/>
            <w:u w:val="single"/>
          </w:rPr>
          <w:t>Timeline</w:t>
        </w:r>
      </w:hyperlink>
      <w:r>
        <w:t xml:space="preserve"> | Distribution milestones</w:t>
      </w:r>
    </w:p>
    <w:p>
      <w:pPr>
        <w:pStyle w:val="Heading1"/>
      </w:pPr>
      <w:r>
        <w:t>8. Public history and milestones</w:t>
      </w:r>
    </w:p>
    <w:p>
      <w:r>
        <w:rPr>
          <w:b/>
          <w:color w:val="24527A"/>
        </w:rPr>
        <w:t xml:space="preserve">2011–2012  </w:t>
      </w:r>
      <w:r>
        <w:t>Researchers associated with MIT, Tufts, and Georgia State University explored mobile-based literacy learning, including remote communities in Ethiopia.</w:t>
      </w:r>
    </w:p>
    <w:p>
      <w:r>
        <w:rPr>
          <w:b/>
          <w:color w:val="24527A"/>
        </w:rPr>
        <w:t xml:space="preserve">2014  </w:t>
      </w:r>
      <w:r>
        <w:t>CL’s timeline reports replication of earlier experiments across different cultural and practical settings.</w:t>
      </w:r>
    </w:p>
    <w:p>
      <w:r>
        <w:rPr>
          <w:b/>
          <w:color w:val="24527A"/>
        </w:rPr>
        <w:t xml:space="preserve">2017  </w:t>
      </w:r>
      <w:r>
        <w:t>CL began looking for apps that could be localized into multiple languages; Feed the Monster, originating from EduApp4Syria, became a flagship localization effort.</w:t>
      </w:r>
    </w:p>
    <w:p>
      <w:r>
        <w:rPr>
          <w:b/>
          <w:color w:val="24527A"/>
        </w:rPr>
        <w:t xml:space="preserve">2018  </w:t>
      </w:r>
      <w:r>
        <w:t>CL’s timeline reports Feed the Monster localization into 50 languages and a World Vision evaluation. Distribution experimentation expanded.</w:t>
      </w:r>
    </w:p>
    <w:p>
      <w:r>
        <w:rPr>
          <w:b/>
          <w:color w:val="24527A"/>
        </w:rPr>
        <w:t xml:space="preserve">2019  </w:t>
      </w:r>
      <w:r>
        <w:t>A first interactive book launched with Ubongo; content partnerships expanded with Global Digital Library.</w:t>
      </w:r>
    </w:p>
    <w:p>
      <w:r>
        <w:rPr>
          <w:b/>
          <w:color w:val="24527A"/>
        </w:rPr>
        <w:t xml:space="preserve">2021  </w:t>
      </w:r>
      <w:r>
        <w:t>CL reports reaching all 227 countries and territories and finding social media and traditional awareness campaigns useful for distribution.</w:t>
      </w:r>
    </w:p>
    <w:p>
      <w:r>
        <w:rPr>
          <w:b/>
          <w:color w:val="24527A"/>
        </w:rPr>
        <w:t xml:space="preserve">2022  </w:t>
      </w:r>
      <w:r>
        <w:t>CL reports reaching 100,000 Ukrainian learners in the first 100 days of the invasion and 3.5 million learners worldwide. Its resources link to a World Bank study in northern Nigeria.</w:t>
      </w:r>
    </w:p>
    <w:p>
      <w:r>
        <w:rPr>
          <w:b/>
          <w:color w:val="24527A"/>
        </w:rPr>
        <w:t xml:space="preserve">2023  </w:t>
      </w:r>
      <w:r>
        <w:t>CL reports 5.5 million learners worldwide and work on a central app for multiple content types and languages.</w:t>
      </w:r>
    </w:p>
    <w:p>
      <w:r>
        <w:rPr>
          <w:b/>
          <w:color w:val="24527A"/>
        </w:rPr>
        <w:t xml:space="preserve">2024  </w:t>
      </w:r>
      <w:r>
        <w:t>The timeline highlights learning dashboards, assessment embedded in gameplay, and more than 100 campaign experiments. An external landscape report says Curious Reader launched as an integrated content app and CL reached over one million learners during the year.</w:t>
      </w:r>
    </w:p>
    <w:p>
      <w:r>
        <w:rPr>
          <w:b/>
          <w:color w:val="24527A"/>
        </w:rPr>
        <w:t xml:space="preserve">2025  </w:t>
      </w:r>
      <w:r>
        <w:t>The official annual-report page publishes a 2025 annual report and archives earlier reports. Consult the report itself for audited or year-specific figures.</w:t>
      </w:r>
    </w:p>
    <w:p>
      <w:pPr>
        <w:ind w:left="216"/>
      </w:pPr>
      <w:r>
        <w:t xml:space="preserve">• </w:t>
      </w:r>
      <w:hyperlink r:id="rId19">
        <w:r>
          <w:rPr>
            <w:color w:val="0563C1"/>
            <w:u w:val="single"/>
          </w:rPr>
          <w:t>Timeline</w:t>
        </w:r>
      </w:hyperlink>
      <w:r>
        <w:t xml:space="preserve"> | Main historical timeline</w:t>
      </w:r>
    </w:p>
    <w:p>
      <w:pPr>
        <w:ind w:left="216"/>
      </w:pPr>
      <w:r>
        <w:t xml:space="preserve">• </w:t>
      </w:r>
      <w:hyperlink r:id="rId24">
        <w:r>
          <w:rPr>
            <w:color w:val="0563C1"/>
            <w:u w:val="single"/>
          </w:rPr>
          <w:t>Annual Report</w:t>
        </w:r>
      </w:hyperlink>
      <w:r>
        <w:t xml:space="preserve"> | Annual reports and archive</w:t>
      </w:r>
    </w:p>
    <w:p>
      <w:pPr>
        <w:ind w:left="216"/>
      </w:pPr>
      <w:r>
        <w:t xml:space="preserve">• </w:t>
      </w:r>
      <w:hyperlink r:id="rId13">
        <w:r>
          <w:rPr>
            <w:color w:val="0563C1"/>
            <w:u w:val="single"/>
          </w:rPr>
          <w:t>2024 FLN Landscape Report</w:t>
        </w:r>
      </w:hyperlink>
      <w:r>
        <w:t xml:space="preserve"> | External 2024 summary</w:t>
      </w:r>
    </w:p>
    <w:p>
      <w:pPr>
        <w:pStyle w:val="Heading1"/>
      </w:pPr>
      <w:r>
        <w:t>9. Technology and public developer resources</w:t>
      </w:r>
    </w:p>
    <w:p>
      <w:r>
        <w:t>Public repositories provide concrete technical evidence about parts of CL’s software ecosystem. They do not document every production system, infrastructure decision, internal service, or current deployment. The following is limited to what is visible in public repositories and pages.</w:t>
      </w:r>
    </w:p>
    <w:p>
      <w:pPr>
        <w:pStyle w:val="Heading2"/>
      </w:pPr>
      <w:r>
        <w:t>Feed the Monster core</w:t>
      </w:r>
    </w:p>
    <w:p>
      <w:pPr>
        <w:pStyle w:val="ListBullet"/>
      </w:pPr>
      <w:r>
        <w:t>The public core repository describes language-independent gameplay code and assets.</w:t>
      </w:r>
    </w:p>
    <w:p>
      <w:pPr>
        <w:pStyle w:val="ListBullet"/>
      </w:pPr>
      <w:r>
        <w:t>Its README identifies Unity 2019.4.8f1 and a Firebase Unity SDK version 6.3.0 in the repository documentation. These are repository-era references, not a claim about the current production versions.</w:t>
      </w:r>
    </w:p>
    <w:p>
      <w:pPr>
        <w:pStyle w:val="ListBullet"/>
      </w:pPr>
      <w:r>
        <w:t>The repository references language packs and automation scripts as related components.</w:t>
      </w:r>
    </w:p>
    <w:p>
      <w:pPr>
        <w:ind w:left="216"/>
      </w:pPr>
      <w:r>
        <w:t xml:space="preserve">• </w:t>
      </w:r>
      <w:hyperlink r:id="rId18">
        <w:r>
          <w:rPr>
            <w:color w:val="0563C1"/>
            <w:u w:val="single"/>
          </w:rPr>
          <w:t>Feed the Monster core</w:t>
        </w:r>
      </w:hyperlink>
      <w:r>
        <w:t xml:space="preserve"> | Unity game repository</w:t>
      </w:r>
    </w:p>
    <w:p>
      <w:pPr>
        <w:pStyle w:val="Heading2"/>
      </w:pPr>
      <w:r>
        <w:t>Feed the Monster JS</w:t>
      </w:r>
    </w:p>
    <w:p>
      <w:pPr>
        <w:pStyle w:val="ListBullet"/>
      </w:pPr>
      <w:r>
        <w:t>The JavaScript repository documents a web-enabled smartphone/tablet version and language creation using pre-populated JSON files and Creative Commons audio assets.</w:t>
      </w:r>
    </w:p>
    <w:p>
      <w:pPr>
        <w:pStyle w:val="ListBullet"/>
      </w:pPr>
      <w:r>
        <w:t>The repository is a useful reference for content schema, language-pack generation, and web delivery. Check its current branches and README before treating any implementation details as authoritative.</w:t>
      </w:r>
    </w:p>
    <w:p>
      <w:pPr>
        <w:ind w:left="216"/>
      </w:pPr>
      <w:r>
        <w:t xml:space="preserve">• </w:t>
      </w:r>
      <w:hyperlink r:id="rId17">
        <w:r>
          <w:rPr>
            <w:color w:val="0563C1"/>
            <w:u w:val="single"/>
          </w:rPr>
          <w:t>Feed the Monster JS</w:t>
        </w:r>
      </w:hyperlink>
      <w:r>
        <w:t xml:space="preserve"> | JavaScript/web implementation</w:t>
      </w:r>
    </w:p>
    <w:p>
      <w:pPr>
        <w:pStyle w:val="Heading2"/>
      </w:pPr>
      <w:r>
        <w:t>Language packs and automation</w:t>
      </w:r>
    </w:p>
    <w:p>
      <w:pPr>
        <w:pStyle w:val="ListBullet"/>
      </w:pPr>
      <w:r>
        <w:t>The public language-pack repository contains localization data for Feed the Monster.</w:t>
      </w:r>
    </w:p>
    <w:p>
      <w:pPr>
        <w:pStyle w:val="ListBullet"/>
      </w:pPr>
      <w:r>
        <w:t>The public automation repository is described as scripts that facilitate creation of localization APKs.</w:t>
      </w:r>
    </w:p>
    <w:p>
      <w:pPr>
        <w:pStyle w:val="ListBullet"/>
      </w:pPr>
      <w:r>
        <w:t>CL’s Resources page links to instructions for rolling out new content to Curious Reader and to the localization guide.</w:t>
      </w:r>
    </w:p>
    <w:p>
      <w:pPr>
        <w:ind w:left="216"/>
      </w:pPr>
      <w:r>
        <w:t xml:space="preserve">• </w:t>
      </w:r>
      <w:hyperlink r:id="rId22">
        <w:r>
          <w:rPr>
            <w:color w:val="0563C1"/>
            <w:u w:val="single"/>
          </w:rPr>
          <w:t>Language packs</w:t>
        </w:r>
      </w:hyperlink>
      <w:r>
        <w:t xml:space="preserve"> | Localization data</w:t>
      </w:r>
    </w:p>
    <w:p>
      <w:pPr>
        <w:ind w:left="216"/>
      </w:pPr>
      <w:r>
        <w:t xml:space="preserve">• </w:t>
      </w:r>
      <w:hyperlink r:id="rId25">
        <w:r>
          <w:rPr>
            <w:color w:val="0563C1"/>
            <w:u w:val="single"/>
          </w:rPr>
          <w:t>Automation scripts</w:t>
        </w:r>
      </w:hyperlink>
      <w:r>
        <w:t xml:space="preserve"> | Localization build automation</w:t>
      </w:r>
    </w:p>
    <w:p>
      <w:pPr>
        <w:ind w:left="216"/>
      </w:pPr>
      <w:r>
        <w:t xml:space="preserve">• </w:t>
      </w:r>
      <w:hyperlink r:id="rId20">
        <w:r>
          <w:rPr>
            <w:color w:val="0563C1"/>
            <w:u w:val="single"/>
          </w:rPr>
          <w:t>Resources</w:t>
        </w:r>
      </w:hyperlink>
      <w:r>
        <w:t xml:space="preserve"> | Developer documentation index</w:t>
      </w:r>
    </w:p>
    <w:p>
      <w:pPr>
        <w:pStyle w:val="Heading2"/>
      </w:pPr>
      <w:r>
        <w:t>Architecture themes visible from public materials</w:t>
      </w:r>
    </w:p>
    <w:p>
      <w:pPr>
        <w:pStyle w:val="ListBullet"/>
      </w:pPr>
      <w:r>
        <w:t>Separate reusable game or app logic from language-specific content packs.</w:t>
      </w:r>
    </w:p>
    <w:p>
      <w:pPr>
        <w:pStyle w:val="ListBullet"/>
      </w:pPr>
      <w:r>
        <w:t>Represent content in structured data files, with language-specific text and audio assets.</w:t>
      </w:r>
    </w:p>
    <w:p>
      <w:pPr>
        <w:pStyle w:val="ListBullet"/>
      </w:pPr>
      <w:r>
        <w:t>Automate repetitive localization packaging tasks where practical.</w:t>
      </w:r>
    </w:p>
    <w:p>
      <w:pPr>
        <w:pStyle w:val="ListBullet"/>
      </w:pPr>
      <w:r>
        <w:t>Use app analytics and learning assessments to support measurement and iteration.</w:t>
      </w:r>
    </w:p>
    <w:p>
      <w:pPr>
        <w:pStyle w:val="ListBullet"/>
      </w:pPr>
      <w:r>
        <w:t>Provide centralized discovery and access through Curious Reader.</w:t>
      </w:r>
    </w:p>
    <w:p>
      <w:pPr>
        <w:pStyle w:val="ListBullet"/>
      </w:pPr>
      <w:r>
        <w:t>Keep content creation and release workflows documented so partners can contribute.</w:t>
      </w:r>
    </w:p>
    <w:p>
      <w:r>
        <w:t>For a full technical architecture, internal API map, cloud infrastructure inventory, deployment topology, authentication model, data warehouse schema, analytics events, and CI/CD process, public repositories are insufficient. These details should be added only from approved internal documentation.</w:t>
      </w:r>
    </w:p>
    <w:p>
      <w:pPr>
        <w:pStyle w:val="Heading1"/>
      </w:pPr>
      <w:r>
        <w:t>10. Data, privacy, and responsible use</w:t>
      </w:r>
    </w:p>
    <w:p>
      <w:r>
        <w:t>CL’s public privacy materials emphasize that data may be used to understand learning activity, improve apps, support research, and evaluate usage. The coaching app policy distinguishes information that remains on the coach’s device from coach profile information synced to CL systems and anonymous learner progress data.</w:t>
      </w:r>
    </w:p>
    <w:p>
      <w:pPr>
        <w:pStyle w:val="Heading2"/>
      </w:pPr>
      <w:r>
        <w:t>Publicly documented considerations</w:t>
      </w:r>
    </w:p>
    <w:p>
      <w:pPr>
        <w:pStyle w:val="ListBullet"/>
      </w:pPr>
      <w:r>
        <w:t>The Feed the Monster privacy policy explains the apps it covers and describes app usage data and research/analytics purposes.</w:t>
      </w:r>
    </w:p>
    <w:p>
      <w:pPr>
        <w:pStyle w:val="ListBullet"/>
      </w:pPr>
      <w:r>
        <w:t>The coaching app policy says optional learner names, family phone numbers, and learner photos are stored locally on the coach’s device and are not transmitted to CL or third parties.</w:t>
      </w:r>
    </w:p>
    <w:p>
      <w:pPr>
        <w:pStyle w:val="ListBullet"/>
      </w:pPr>
      <w:r>
        <w:t>The coaching app policy says coach profile information such as name, phone number, and entered location is synced for program management, while learner progress data is displayed using an anonymous Curious Reader user ID.</w:t>
      </w:r>
    </w:p>
    <w:p>
      <w:pPr>
        <w:pStyle w:val="ListBullet"/>
      </w:pPr>
      <w:r>
        <w:t>The coaching app policy describes use of Google Cloud/BigQuery for program data and Firebase Analytics for anonymous usage analytics.</w:t>
      </w:r>
    </w:p>
    <w:p>
      <w:pPr>
        <w:pStyle w:val="Heading2"/>
      </w:pPr>
      <w:r>
        <w:t>Implications for an internal AI assistant</w:t>
      </w:r>
    </w:p>
    <w:p>
      <w:pPr>
        <w:pStyle w:val="ListBullet"/>
      </w:pPr>
      <w:r>
        <w:t>Use only approved sources and approved data classifications.</w:t>
      </w:r>
    </w:p>
    <w:p>
      <w:pPr>
        <w:pStyle w:val="ListBullet"/>
      </w:pPr>
      <w:r>
        <w:t>Do not ingest identifiable child or family data into a general-purpose knowledge index unless explicitly approved and protected under the applicable policy.</w:t>
      </w:r>
    </w:p>
    <w:p>
      <w:pPr>
        <w:pStyle w:val="ListBullet"/>
      </w:pPr>
      <w:r>
        <w:t>Keep public documents separate from confidential internal documents and restricted learner data.</w:t>
      </w:r>
    </w:p>
    <w:p>
      <w:pPr>
        <w:pStyle w:val="ListBullet"/>
      </w:pPr>
      <w:r>
        <w:t>Apply access control at retrieval time, not only at document upload time.</w:t>
      </w:r>
    </w:p>
    <w:p>
      <w:pPr>
        <w:pStyle w:val="ListBullet"/>
      </w:pPr>
      <w:r>
        <w:t>Record source references and permissions for indexed material; honor deletion and retention rules.</w:t>
      </w:r>
    </w:p>
    <w:p>
      <w:pPr>
        <w:pStyle w:val="ListBullet"/>
      </w:pPr>
      <w:r>
        <w:t>Treat model output as a draft that requires human review when it affects child safety, learner assessment, or program decisions.</w:t>
      </w:r>
    </w:p>
    <w:p>
      <w:pPr>
        <w:ind w:left="216"/>
      </w:pPr>
      <w:r>
        <w:t xml:space="preserve">• </w:t>
      </w:r>
      <w:hyperlink r:id="rId26">
        <w:r>
          <w:rPr>
            <w:color w:val="0563C1"/>
            <w:u w:val="single"/>
          </w:rPr>
          <w:t>Feed the Monster Privacy Policy</w:t>
        </w:r>
      </w:hyperlink>
      <w:r>
        <w:t xml:space="preserve"> | App privacy and research use</w:t>
      </w:r>
    </w:p>
    <w:p>
      <w:pPr>
        <w:ind w:left="216"/>
      </w:pPr>
      <w:r>
        <w:t xml:space="preserve">• </w:t>
      </w:r>
      <w:hyperlink r:id="rId21">
        <w:r>
          <w:rPr>
            <w:color w:val="0563C1"/>
            <w:u w:val="single"/>
          </w:rPr>
          <w:t>Coaching App Privacy Policy</w:t>
        </w:r>
      </w:hyperlink>
      <w:r>
        <w:t xml:space="preserve"> | Coach and learner data distinctions</w:t>
      </w:r>
    </w:p>
    <w:p>
      <w:pPr>
        <w:pStyle w:val="Heading1"/>
      </w:pPr>
      <w:r>
        <w:t>11. Public organization and roles</w:t>
      </w:r>
    </w:p>
    <w:p>
      <w:r>
        <w:t>The official team page describes a distributed team spanning research/content, strategic partnerships, software engineering, product, marketing/distribution, finance, and donor relations. Team pages can become outdated after organizational changes, so the list below is a snapshot of roles shown in public materials, not a definitive current org chart.</w:t>
      </w:r>
    </w:p>
    <w:p>
      <w:pPr>
        <w:pStyle w:val="ListBullet"/>
      </w:pPr>
      <w:r>
        <w:t>Tinsley Galyean: listed as CEO and founder, associated with organizational strategy and the mission to expand access to literacy.</w:t>
      </w:r>
    </w:p>
    <w:p>
      <w:pPr>
        <w:pStyle w:val="ListBullet"/>
      </w:pPr>
      <w:r>
        <w:t>Stephanie Gottwald: listed as VP of Content and Research and founder, with a linguistics and literacy-research background.</w:t>
      </w:r>
    </w:p>
    <w:p>
      <w:pPr>
        <w:pStyle w:val="ListBullet"/>
      </w:pPr>
      <w:r>
        <w:t>Creesen Naicker: listed as VP of Strategic Partnerships, including partnerships, grant management, implementation, and distribution.</w:t>
      </w:r>
    </w:p>
    <w:p>
      <w:pPr>
        <w:pStyle w:val="ListBullet"/>
      </w:pPr>
      <w:r>
        <w:t>The public team page also lists engineering, software development, QA, product, marketing/digital distribution, finance, and donor-experience functions.</w:t>
      </w:r>
    </w:p>
    <w:p>
      <w:pPr>
        <w:ind w:left="216"/>
      </w:pPr>
      <w:r>
        <w:t xml:space="preserve">• </w:t>
      </w:r>
      <w:hyperlink r:id="rId27">
        <w:r>
          <w:rPr>
            <w:color w:val="0563C1"/>
            <w:u w:val="single"/>
          </w:rPr>
          <w:t>Team</w:t>
        </w:r>
      </w:hyperlink>
      <w:r>
        <w:t xml:space="preserve"> | Public team and role descriptions</w:t>
      </w:r>
    </w:p>
    <w:p>
      <w:pPr>
        <w:pStyle w:val="Heading1"/>
      </w:pPr>
      <w:r>
        <w:t>12. Opportunity areas for a Curious Learning LLM / RAG assistant</w:t>
      </w:r>
    </w:p>
    <w:p>
      <w:r>
        <w:t>A Curious Learning LLM knowledge assistant should be built as a retrieval system over a governed, searchable knowledge base rather than as an attempt to train a foundation model from scratch. Its value will depend on source quality, metadata, access control, freshness, and citations.</w:t>
      </w:r>
    </w:p>
    <w:p>
      <w:pPr>
        <w:pStyle w:val="Heading2"/>
      </w:pPr>
      <w:r>
        <w:t>Recommended knowledge domains</w:t>
      </w:r>
    </w:p>
    <w:p>
      <w:r>
        <w:rPr>
          <w:b/>
        </w:rPr>
        <w:t xml:space="preserve">Mission and strategy: </w:t>
      </w:r>
      <w:r>
        <w:t>Mission, principles, theory of change, annual reports, strategy documents, program goals.</w:t>
      </w:r>
    </w:p>
    <w:p>
      <w:r>
        <w:rPr>
          <w:b/>
        </w:rPr>
        <w:t xml:space="preserve">Products and content: </w:t>
      </w:r>
      <w:r>
        <w:t>Curious Reader, Feed the Monster, interactive stories, app behavior, release notes, supported platforms.</w:t>
      </w:r>
    </w:p>
    <w:p>
      <w:r>
        <w:rPr>
          <w:b/>
        </w:rPr>
        <w:t xml:space="preserve">Language and localization: </w:t>
      </w:r>
      <w:r>
        <w:t>Language inventory, localization guides, schemas, audio assets, orthography decisions, reviewer notes, known issues.</w:t>
      </w:r>
    </w:p>
    <w:p>
      <w:r>
        <w:rPr>
          <w:b/>
        </w:rPr>
        <w:t xml:space="preserve">Content operations: </w:t>
      </w:r>
      <w:r>
        <w:t>Publishing workflow, validation steps, release checklists, ownership, version history, escalation paths.</w:t>
      </w:r>
    </w:p>
    <w:p>
      <w:r>
        <w:rPr>
          <w:b/>
        </w:rPr>
        <w:t xml:space="preserve">Research and assessment: </w:t>
      </w:r>
      <w:r>
        <w:t>Original studies, summaries, methods, assessment items, evidence limitations, outcomes and dashboards.</w:t>
      </w:r>
    </w:p>
    <w:p>
      <w:r>
        <w:rPr>
          <w:b/>
        </w:rPr>
        <w:t xml:space="preserve">Distribution and partnerships: </w:t>
      </w:r>
      <w:r>
        <w:t>Campaigns, country-language-platform experiments, partner onboarding, field implementation, cost and reach definitions.</w:t>
      </w:r>
    </w:p>
    <w:p>
      <w:r>
        <w:rPr>
          <w:b/>
        </w:rPr>
        <w:t xml:space="preserve">Technology and operations: </w:t>
      </w:r>
      <w:r>
        <w:t>Repositories, architecture docs, APIs, cloud services, CI/CD, observability, incident runbooks, security controls.</w:t>
      </w:r>
    </w:p>
    <w:p>
      <w:r>
        <w:rPr>
          <w:b/>
        </w:rPr>
        <w:t xml:space="preserve">Policies and governance: </w:t>
      </w:r>
      <w:r>
        <w:t>Privacy policies, data handling, child safeguarding, licensing, accessibility, retention and access rules.</w:t>
      </w:r>
    </w:p>
    <w:p>
      <w:pPr>
        <w:pStyle w:val="Heading2"/>
      </w:pPr>
      <w:r>
        <w:t>Recommended metadata for each document</w:t>
      </w:r>
    </w:p>
    <w:p>
      <w:pPr>
        <w:pStyle w:val="ListBullet"/>
      </w:pPr>
      <w:r>
        <w:t>title, summary, source_url, source_type, owner, team, and document_id</w:t>
      </w:r>
    </w:p>
    <w:p>
      <w:pPr>
        <w:pStyle w:val="ListBullet"/>
      </w:pPr>
      <w:r>
        <w:t>created_at, updated_at, effective_from, version, status, and review_due_date</w:t>
      </w:r>
    </w:p>
    <w:p>
      <w:pPr>
        <w:pStyle w:val="ListBullet"/>
      </w:pPr>
      <w:r>
        <w:t>classification: public, internal, confidential, or restricted</w:t>
      </w:r>
    </w:p>
    <w:p>
      <w:pPr>
        <w:pStyle w:val="ListBullet"/>
      </w:pPr>
      <w:r>
        <w:t>product, language, locale, platform, geography, and workflow stage</w:t>
      </w:r>
    </w:p>
    <w:p>
      <w:pPr>
        <w:pStyle w:val="ListBullet"/>
      </w:pPr>
      <w:r>
        <w:t>source authority and confidence, including whether the item is official policy, research, a working note, or an external summary</w:t>
      </w:r>
    </w:p>
    <w:p>
      <w:pPr>
        <w:pStyle w:val="ListBullet"/>
      </w:pPr>
      <w:r>
        <w:t>supersedes / superseded_by links and an explicit expiry or review rule for time-sensitive facts</w:t>
      </w:r>
    </w:p>
    <w:p>
      <w:pPr>
        <w:pStyle w:val="Heading2"/>
      </w:pPr>
      <w:r>
        <w:t>Useful initial assistant workflows</w:t>
      </w:r>
    </w:p>
    <w:p>
      <w:pPr>
        <w:pStyle w:val="ListBullet"/>
      </w:pPr>
      <w:r>
        <w:t>Answer organizational questions with citations to official sources.</w:t>
      </w:r>
    </w:p>
    <w:p>
      <w:pPr>
        <w:pStyle w:val="ListBullet"/>
      </w:pPr>
      <w:r>
        <w:t>Explain the steps to add or update a language and identify the authoritative workflow documents.</w:t>
      </w:r>
    </w:p>
    <w:p>
      <w:pPr>
        <w:pStyle w:val="ListBullet"/>
      </w:pPr>
      <w:r>
        <w:t>Search for missing or inconsistent language assets and draft a QA report.</w:t>
      </w:r>
    </w:p>
    <w:p>
      <w:pPr>
        <w:pStyle w:val="ListBullet"/>
      </w:pPr>
      <w:r>
        <w:t>Summarize research evidence while distinguishing study findings from website summaries.</w:t>
      </w:r>
    </w:p>
    <w:p>
      <w:pPr>
        <w:pStyle w:val="ListBullet"/>
      </w:pPr>
      <w:r>
        <w:t>Generate a distribution brief for a specific language, country, or partner using approved documents.</w:t>
      </w:r>
    </w:p>
    <w:p>
      <w:pPr>
        <w:pStyle w:val="ListBullet"/>
      </w:pPr>
      <w:r>
        <w:t>Help a developer locate the correct repository, schema, build instructions, or owner.</w:t>
      </w:r>
    </w:p>
    <w:p>
      <w:pPr>
        <w:pStyle w:val="ListBullet"/>
      </w:pPr>
      <w:r>
        <w:t>Summarize what changed between versions of a policy, content pack, or release guide.</w:t>
      </w:r>
    </w:p>
    <w:p>
      <w:pPr>
        <w:pStyle w:val="Heading2"/>
      </w:pPr>
      <w:r>
        <w:t>Suggested RAG implementation guardrails</w:t>
      </w:r>
    </w:p>
    <w:p>
      <w:pPr>
        <w:pStyle w:val="ListBullet"/>
      </w:pPr>
      <w:r>
        <w:t>Cite sources for every non-trivial factual answer and show the document date.</w:t>
      </w:r>
    </w:p>
    <w:p>
      <w:pPr>
        <w:pStyle w:val="ListBullet"/>
      </w:pPr>
      <w:r>
        <w:t>Prefer primary CL documents, repositories, and original research over summaries or third-party descriptions.</w:t>
      </w:r>
    </w:p>
    <w:p>
      <w:pPr>
        <w:pStyle w:val="ListBullet"/>
      </w:pPr>
      <w:r>
        <w:t>Keep public web content and internal knowledge in distinct collections or apply strict metadata-based filtering.</w:t>
      </w:r>
    </w:p>
    <w:p>
      <w:pPr>
        <w:pStyle w:val="ListBullet"/>
      </w:pPr>
      <w:r>
        <w:t>Use hybrid retrieval for exact identifiers, filenames, scripts, language names, and semantic questions.</w:t>
      </w:r>
    </w:p>
    <w:p>
      <w:pPr>
        <w:pStyle w:val="ListBullet"/>
      </w:pPr>
      <w:r>
        <w:t>For language QA, return flagged asset, expected value, observed value, reason, confidence, and recommended human action.</w:t>
      </w:r>
    </w:p>
    <w:p>
      <w:pPr>
        <w:pStyle w:val="ListBullet"/>
      </w:pPr>
      <w:r>
        <w:t>Do not let an agent publish content, change production data, or modify approved assets without an explicit approval step.</w:t>
      </w:r>
    </w:p>
    <w:p>
      <w:pPr>
        <w:pStyle w:val="ListBullet"/>
      </w:pPr>
      <w:r>
        <w:t>Create an evaluation set of real questions from Content and Distribution teams; measure citation correctness, retrieval recall, answer accuracy, and unsafe disclosure.</w:t>
      </w:r>
    </w:p>
    <w:p>
      <w:pPr>
        <w:pStyle w:val="Heading1"/>
      </w:pPr>
      <w:r>
        <w:t>13. Public-source directory and verification checklist</w:t>
      </w:r>
    </w:p>
    <w:p>
      <w:r>
        <w:t>The links below are the primary public sources used to assemble this handbook. They are a starting point for deeper crawling and should be rechecked before relying on a specific number, personnel listing, or technical version.</w:t>
      </w:r>
    </w:p>
    <w:p>
      <w:pPr>
        <w:ind w:left="216"/>
      </w:pPr>
      <w:r>
        <w:t xml:space="preserve">• </w:t>
      </w:r>
      <w:hyperlink r:id="rId12">
        <w:r>
          <w:rPr>
            <w:color w:val="0563C1"/>
            <w:u w:val="single"/>
          </w:rPr>
          <w:t>Curious Learning homepage</w:t>
        </w:r>
      </w:hyperlink>
      <w:r>
        <w:t xml:space="preserve"> | Current public overview, literacy challenge, and distribution model</w:t>
      </w:r>
    </w:p>
    <w:p>
      <w:pPr>
        <w:ind w:left="216"/>
      </w:pPr>
      <w:r>
        <w:t xml:space="preserve">• </w:t>
      </w:r>
      <w:hyperlink r:id="rId15">
        <w:r>
          <w:rPr>
            <w:color w:val="0563C1"/>
            <w:u w:val="single"/>
          </w:rPr>
          <w:t>About Us</w:t>
        </w:r>
      </w:hyperlink>
      <w:r>
        <w:t xml:space="preserve"> | Problem framing and approach</w:t>
      </w:r>
    </w:p>
    <w:p>
      <w:pPr>
        <w:ind w:left="216"/>
      </w:pPr>
      <w:r>
        <w:t xml:space="preserve">• </w:t>
      </w:r>
      <w:hyperlink r:id="rId14">
        <w:r>
          <w:rPr>
            <w:color w:val="0563C1"/>
            <w:u w:val="single"/>
          </w:rPr>
          <w:t>Our Mission</w:t>
        </w:r>
      </w:hyperlink>
      <w:r>
        <w:t xml:space="preserve"> | Mission and guiding principles</w:t>
      </w:r>
    </w:p>
    <w:p>
      <w:pPr>
        <w:ind w:left="216"/>
      </w:pPr>
      <w:r>
        <w:t xml:space="preserve">• </w:t>
      </w:r>
      <w:hyperlink r:id="rId11">
        <w:r>
          <w:rPr>
            <w:color w:val="0563C1"/>
            <w:u w:val="single"/>
          </w:rPr>
          <w:t>What We Do</w:t>
        </w:r>
      </w:hyperlink>
      <w:r>
        <w:t xml:space="preserve"> | Product suite, scale, distribution, and impact claims</w:t>
      </w:r>
    </w:p>
    <w:p>
      <w:pPr>
        <w:ind w:left="216"/>
      </w:pPr>
      <w:r>
        <w:t xml:space="preserve">• </w:t>
      </w:r>
      <w:hyperlink r:id="rId19">
        <w:r>
          <w:rPr>
            <w:color w:val="0563C1"/>
            <w:u w:val="single"/>
          </w:rPr>
          <w:t>Timeline</w:t>
        </w:r>
      </w:hyperlink>
      <w:r>
        <w:t xml:space="preserve"> | History and milestones</w:t>
      </w:r>
    </w:p>
    <w:p>
      <w:pPr>
        <w:ind w:left="216"/>
      </w:pPr>
      <w:r>
        <w:t xml:space="preserve">• </w:t>
      </w:r>
      <w:hyperlink r:id="rId20">
        <w:r>
          <w:rPr>
            <w:color w:val="0563C1"/>
            <w:u w:val="single"/>
          </w:rPr>
          <w:t>Resources</w:t>
        </w:r>
      </w:hyperlink>
      <w:r>
        <w:t xml:space="preserve"> | Localization, assessments, languages, and research</w:t>
      </w:r>
    </w:p>
    <w:p>
      <w:pPr>
        <w:ind w:left="216"/>
      </w:pPr>
      <w:r>
        <w:t xml:space="preserve">• </w:t>
      </w:r>
      <w:hyperlink r:id="rId24">
        <w:r>
          <w:rPr>
            <w:color w:val="0563C1"/>
            <w:u w:val="single"/>
          </w:rPr>
          <w:t>Annual Report</w:t>
        </w:r>
      </w:hyperlink>
      <w:r>
        <w:t xml:space="preserve"> | Annual reports and archive</w:t>
      </w:r>
    </w:p>
    <w:p>
      <w:pPr>
        <w:ind w:left="216"/>
      </w:pPr>
      <w:r>
        <w:t xml:space="preserve">• </w:t>
      </w:r>
      <w:hyperlink r:id="rId27">
        <w:r>
          <w:rPr>
            <w:color w:val="0563C1"/>
            <w:u w:val="single"/>
          </w:rPr>
          <w:t>Team</w:t>
        </w:r>
      </w:hyperlink>
      <w:r>
        <w:t xml:space="preserve"> | Public roles and team descriptions</w:t>
      </w:r>
    </w:p>
    <w:p>
      <w:pPr>
        <w:ind w:left="216"/>
      </w:pPr>
      <w:r>
        <w:t xml:space="preserve">• </w:t>
      </w:r>
      <w:hyperlink r:id="rId23">
        <w:r>
          <w:rPr>
            <w:color w:val="0563C1"/>
            <w:u w:val="single"/>
          </w:rPr>
          <w:t>Contact Us</w:t>
        </w:r>
      </w:hyperlink>
      <w:r>
        <w:t xml:space="preserve"> | Partnership pathways</w:t>
      </w:r>
    </w:p>
    <w:p>
      <w:pPr>
        <w:ind w:left="216"/>
      </w:pPr>
      <w:r>
        <w:t xml:space="preserve">• </w:t>
      </w:r>
      <w:hyperlink r:id="rId16">
        <w:r>
          <w:rPr>
            <w:color w:val="0563C1"/>
            <w:u w:val="single"/>
          </w:rPr>
          <w:t>Curious Reader</w:t>
        </w:r>
      </w:hyperlink>
      <w:r>
        <w:t xml:space="preserve"> | Public product description</w:t>
      </w:r>
    </w:p>
    <w:p>
      <w:pPr>
        <w:ind w:left="216"/>
      </w:pPr>
      <w:r>
        <w:t xml:space="preserve">• </w:t>
      </w:r>
      <w:hyperlink r:id="rId17">
        <w:r>
          <w:rPr>
            <w:color w:val="0563C1"/>
            <w:u w:val="single"/>
          </w:rPr>
          <w:t>Feed the Monster JS</w:t>
        </w:r>
      </w:hyperlink>
      <w:r>
        <w:t xml:space="preserve"> | Web implementation and localization instructions</w:t>
      </w:r>
    </w:p>
    <w:p>
      <w:pPr>
        <w:ind w:left="216"/>
      </w:pPr>
      <w:r>
        <w:t xml:space="preserve">• </w:t>
      </w:r>
      <w:hyperlink r:id="rId18">
        <w:r>
          <w:rPr>
            <w:color w:val="0563C1"/>
            <w:u w:val="single"/>
          </w:rPr>
          <w:t>Feed the Monster core</w:t>
        </w:r>
      </w:hyperlink>
      <w:r>
        <w:t xml:space="preserve"> | Core app repository</w:t>
      </w:r>
    </w:p>
    <w:p>
      <w:pPr>
        <w:ind w:left="216"/>
      </w:pPr>
      <w:r>
        <w:t xml:space="preserve">• </w:t>
      </w:r>
      <w:hyperlink r:id="rId22">
        <w:r>
          <w:rPr>
            <w:color w:val="0563C1"/>
            <w:u w:val="single"/>
          </w:rPr>
          <w:t>Language packs</w:t>
        </w:r>
      </w:hyperlink>
      <w:r>
        <w:t xml:space="preserve"> | Language-specific data</w:t>
      </w:r>
    </w:p>
    <w:p>
      <w:pPr>
        <w:ind w:left="216"/>
      </w:pPr>
      <w:r>
        <w:t xml:space="preserve">• </w:t>
      </w:r>
      <w:hyperlink r:id="rId25">
        <w:r>
          <w:rPr>
            <w:color w:val="0563C1"/>
            <w:u w:val="single"/>
          </w:rPr>
          <w:t>Automation scripts</w:t>
        </w:r>
      </w:hyperlink>
      <w:r>
        <w:t xml:space="preserve"> | Localization build automation</w:t>
      </w:r>
    </w:p>
    <w:p>
      <w:pPr>
        <w:ind w:left="216"/>
      </w:pPr>
      <w:r>
        <w:t xml:space="preserve">• </w:t>
      </w:r>
      <w:hyperlink r:id="rId26">
        <w:r>
          <w:rPr>
            <w:color w:val="0563C1"/>
            <w:u w:val="single"/>
          </w:rPr>
          <w:t>Feed the Monster privacy policy</w:t>
        </w:r>
      </w:hyperlink>
      <w:r>
        <w:t xml:space="preserve"> | App data and privacy policy</w:t>
      </w:r>
    </w:p>
    <w:p>
      <w:pPr>
        <w:ind w:left="216"/>
      </w:pPr>
      <w:r>
        <w:t xml:space="preserve">• </w:t>
      </w:r>
      <w:hyperlink r:id="rId21">
        <w:r>
          <w:rPr>
            <w:color w:val="0563C1"/>
            <w:u w:val="single"/>
          </w:rPr>
          <w:t>Coaching app privacy policy</w:t>
        </w:r>
      </w:hyperlink>
      <w:r>
        <w:t xml:space="preserve"> | Coach app data handling</w:t>
      </w:r>
    </w:p>
    <w:p>
      <w:pPr>
        <w:ind w:left="216"/>
      </w:pPr>
      <w:r>
        <w:t xml:space="preserve">• </w:t>
      </w:r>
      <w:hyperlink r:id="rId13">
        <w:r>
          <w:rPr>
            <w:color w:val="0563C1"/>
            <w:u w:val="single"/>
          </w:rPr>
          <w:t>2024 FLN Landscape Report</w:t>
        </w:r>
      </w:hyperlink>
      <w:r>
        <w:t xml:space="preserve"> | External report on 2024 highlights</w:t>
      </w:r>
    </w:p>
    <w:p>
      <w:pPr>
        <w:ind w:left="216"/>
      </w:pPr>
      <w:r>
        <w:t xml:space="preserve">• </w:t>
      </w:r>
      <w:hyperlink r:id="rId28">
        <w:r>
          <w:rPr>
            <w:color w:val="0563C1"/>
            <w:u w:val="single"/>
          </w:rPr>
          <w:t>REFRAME book page</w:t>
        </w:r>
      </w:hyperlink>
      <w:r>
        <w:t xml:space="preserve"> | Founder’s book and organizational framing</w:t>
      </w:r>
    </w:p>
    <w:p>
      <w:pPr>
        <w:pStyle w:val="Heading2"/>
      </w:pPr>
      <w:r>
        <w:t>Verification checklist before using this as an official reference</w:t>
      </w:r>
    </w:p>
    <w:p>
      <w:pPr>
        <w:pStyle w:val="ListBullet"/>
      </w:pPr>
      <w:r>
        <w:t>Confirm the latest annual report and any updated impact figures.</w:t>
      </w:r>
    </w:p>
    <w:p>
      <w:pPr>
        <w:pStyle w:val="ListBullet"/>
      </w:pPr>
      <w:r>
        <w:t>Verify the current product list and exact supported-language count.</w:t>
      </w:r>
    </w:p>
    <w:p>
      <w:pPr>
        <w:pStyle w:val="ListBullet"/>
      </w:pPr>
      <w:r>
        <w:t>Review the original World Vision and World Bank studies before quoting research outcomes.</w:t>
      </w:r>
    </w:p>
    <w:p>
      <w:pPr>
        <w:pStyle w:val="ListBullet"/>
      </w:pPr>
      <w:r>
        <w:t>Confirm current team structure and ownership with internal sources.</w:t>
      </w:r>
    </w:p>
    <w:p>
      <w:pPr>
        <w:pStyle w:val="ListBullet"/>
      </w:pPr>
      <w:r>
        <w:t>Add approved internal architecture, content operations, and deployment documents where relevant.</w:t>
      </w:r>
    </w:p>
    <w:p>
      <w:pPr>
        <w:pStyle w:val="ListBullet"/>
      </w:pPr>
      <w:r>
        <w:t>Confirm privacy, security, child-safeguarding, and AI usage requirements with the appropriate owners.</w:t>
      </w:r>
    </w:p>
    <w:p>
      <w:pPr>
        <w:pStyle w:val="ListBullet"/>
      </w:pPr>
      <w:r>
        <w:t>Mark each imported document with a source URL, retrieval date, content owner, classification, and review date.</w:t>
      </w:r>
    </w:p>
    <w:p>
      <w:pPr>
        <w:pStyle w:val="Heading1"/>
      </w:pPr>
      <w:r>
        <w:t>Closing note</w:t>
      </w:r>
    </w:p>
    <w:p>
      <w:r>
        <w:t>Curious Learning’s public story is a connected system: research-informed literacy content, mother-tongue localization, accessible mobile delivery, partnerships and distribution, and measurement for continuous improvement. A useful internal knowledge assistant should preserve those connections and help staff find the right source, understand the evidence, and take the next operational step without inventing facts or bypassing human review.</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Public-source research snapshot • 14 October 2026 • Verify live figures before external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CURIOUS LEARNING  |  ORGANIZATION &amp; PROJECT KNOWLEDGE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8727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uriouslearning.org/what-we-do" TargetMode="External"/><Relationship Id="rId12" Type="http://schemas.openxmlformats.org/officeDocument/2006/relationships/hyperlink" Target="https://www.curiouslearning.org/" TargetMode="External"/><Relationship Id="rId13" Type="http://schemas.openxmlformats.org/officeDocument/2006/relationships/hyperlink" Target="https://meducationalliance.org/wp-content/uploads/2024-mEA-FLN-CoPs-Landscape-Report.pdf" TargetMode="External"/><Relationship Id="rId14" Type="http://schemas.openxmlformats.org/officeDocument/2006/relationships/hyperlink" Target="https://www.curiouslearning.org/our-mission" TargetMode="External"/><Relationship Id="rId15" Type="http://schemas.openxmlformats.org/officeDocument/2006/relationships/hyperlink" Target="https://www.curiouslearning.org/about-us" TargetMode="External"/><Relationship Id="rId16" Type="http://schemas.openxmlformats.org/officeDocument/2006/relationships/hyperlink" Target="https://curiousreader.curiouslearning.org/" TargetMode="External"/><Relationship Id="rId17" Type="http://schemas.openxmlformats.org/officeDocument/2006/relationships/hyperlink" Target="https://github.com/curiouslearning/FeedTheMonsterJS" TargetMode="External"/><Relationship Id="rId18" Type="http://schemas.openxmlformats.org/officeDocument/2006/relationships/hyperlink" Target="https://github.com/curiouslearning/FeedTheMonster" TargetMode="External"/><Relationship Id="rId19" Type="http://schemas.openxmlformats.org/officeDocument/2006/relationships/hyperlink" Target="https://www.curiouslearning.org/timeline" TargetMode="External"/><Relationship Id="rId20" Type="http://schemas.openxmlformats.org/officeDocument/2006/relationships/hyperlink" Target="https://www.curiouslearning.org/resources" TargetMode="External"/><Relationship Id="rId21" Type="http://schemas.openxmlformats.org/officeDocument/2006/relationships/hyperlink" Target="https://www.curiouslearning.org/privacy-policy-coaching-app" TargetMode="External"/><Relationship Id="rId22" Type="http://schemas.openxmlformats.org/officeDocument/2006/relationships/hyperlink" Target="https://github.com/curiouslearning/ftm-languagepacks" TargetMode="External"/><Relationship Id="rId23" Type="http://schemas.openxmlformats.org/officeDocument/2006/relationships/hyperlink" Target="https://www.curiouslearning.org/contact-us" TargetMode="External"/><Relationship Id="rId24" Type="http://schemas.openxmlformats.org/officeDocument/2006/relationships/hyperlink" Target="https://www.curiouslearning.org/annual-report" TargetMode="External"/><Relationship Id="rId25" Type="http://schemas.openxmlformats.org/officeDocument/2006/relationships/hyperlink" Target="https://github.com/curiouslearning/ftm-automation" TargetMode="External"/><Relationship Id="rId26" Type="http://schemas.openxmlformats.org/officeDocument/2006/relationships/hyperlink" Target="https://www.curiouslearning.org/ftm-privacy-policy" TargetMode="External"/><Relationship Id="rId27" Type="http://schemas.openxmlformats.org/officeDocument/2006/relationships/hyperlink" Target="https://www.curiouslearning.org/team" TargetMode="External"/><Relationship Id="rId28" Type="http://schemas.openxmlformats.org/officeDocument/2006/relationships/hyperlink" Target="https://www.curiouslearning.org/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