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BEN-001: Health Insurance Plan Guide</w:t>
      </w:r>
    </w:p>
    <w:tbl>
      <w:tblPr>
        <w:tblStyle w:val="LightGrid-Accent1"/>
        <w:tblW w:type="auto" w:w="0"/>
        <w:jc w:val="left"/>
        <w:tblLook w:firstColumn="1" w:firstRow="1" w:lastColumn="0" w:lastRow="0" w:noHBand="0" w:noVBand="1" w:val="04A0"/>
      </w:tblPr>
      <w:tblGrid>
        <w:gridCol w:w="4320"/>
        <w:gridCol w:w="4320"/>
      </w:tblGrid>
      <w:tr>
        <w:tc>
          <w:tcPr>
            <w:tcW w:type="dxa" w:w="4320"/>
          </w:tcPr>
          <w:p>
            <w:r>
              <w:t>Policy ID</w:t>
            </w:r>
          </w:p>
        </w:tc>
        <w:tc>
          <w:tcPr>
            <w:tcW w:type="dxa" w:w="4320"/>
          </w:tcPr>
          <w:p>
            <w:r>
              <w:t>BEN-001</w:t>
            </w:r>
          </w:p>
        </w:tc>
      </w:tr>
      <w:tr>
        <w:tc>
          <w:tcPr>
            <w:tcW w:type="dxa" w:w="4320"/>
          </w:tcPr>
          <w:p>
            <w:r>
              <w:t>Plan Year</w:t>
            </w:r>
          </w:p>
        </w:tc>
        <w:tc>
          <w:tcPr>
            <w:tcW w:type="dxa" w:w="4320"/>
          </w:tcPr>
          <w:p>
            <w:r>
              <w:t>January 1 – December 31, 2026</w:t>
            </w:r>
          </w:p>
        </w:tc>
      </w:tr>
      <w:tr>
        <w:tc>
          <w:tcPr>
            <w:tcW w:type="dxa" w:w="4320"/>
          </w:tcPr>
          <w:p>
            <w:r>
              <w:t>Owner</w:t>
            </w:r>
          </w:p>
        </w:tc>
        <w:tc>
          <w:tcPr>
            <w:tcW w:type="dxa" w:w="4320"/>
          </w:tcPr>
          <w:p>
            <w:r>
              <w:t>VP of Total Rewards</w:t>
            </w:r>
          </w:p>
        </w:tc>
      </w:tr>
      <w:tr>
        <w:tc>
          <w:tcPr>
            <w:tcW w:type="dxa" w:w="4320"/>
          </w:tcPr>
          <w:p>
            <w:r>
              <w:t>Applies To</w:t>
            </w:r>
          </w:p>
        </w:tc>
        <w:tc>
          <w:tcPr>
            <w:tcW w:type="dxa" w:w="4320"/>
          </w:tcPr>
          <w:p>
            <w:r>
              <w:t>Benefits-eligible employees (30+ hours/week)</w:t>
            </w:r>
          </w:p>
        </w:tc>
      </w:tr>
    </w:tbl>
    <w:p/>
    <w:p>
      <w:pPr>
        <w:pStyle w:val="Heading2"/>
      </w:pPr>
      <w:r>
        <w:t>1. Eligibility</w:t>
      </w:r>
    </w:p>
    <w:p>
      <w:r>
        <w:t>Full-time employees (30+ hours/week). Coverage begins 1st of the month following hire date.</w:t>
      </w:r>
    </w:p>
    <w:p>
      <w:pPr>
        <w:pStyle w:val="Heading3"/>
      </w:pPr>
      <w:r>
        <w:t>Eligible Dependents</w:t>
      </w:r>
    </w:p>
    <w:p>
      <w:pPr>
        <w:pStyle w:val="ListBullet"/>
      </w:pPr>
      <w:r>
        <w:t>Legal spouse (marriage certificate required)</w:t>
      </w:r>
    </w:p>
    <w:p>
      <w:pPr>
        <w:pStyle w:val="ListBullet"/>
      </w:pPr>
      <w:r>
        <w:t>Domestic partner (affidavit required)</w:t>
      </w:r>
    </w:p>
    <w:p>
      <w:pPr>
        <w:pStyle w:val="ListBullet"/>
      </w:pPr>
      <w:r>
        <w:t>Dependent children up to age 26 (biological, adopted, step, foster, legal guardianship)</w:t>
      </w:r>
    </w:p>
    <w:p>
      <w:pPr>
        <w:pStyle w:val="ListBullet"/>
      </w:pPr>
      <w:r>
        <w:t>Disabled adult dependents (age 26+) who became disabled before age 26</w:t>
      </w:r>
    </w:p>
    <w:p>
      <w:pPr>
        <w:pStyle w:val="Heading2"/>
      </w:pPr>
      <w:r>
        <w:t>2. Plan Options</w:t>
      </w:r>
    </w:p>
    <w:p>
      <w:pPr>
        <w:pStyle w:val="Heading3"/>
      </w:pPr>
      <w:r>
        <w:t>2.1 PPO Plan (Preferred Provider Organization)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In-Network</w:t>
            </w:r>
          </w:p>
        </w:tc>
        <w:tc>
          <w:tcPr>
            <w:tcW w:type="dxa" w:w="2880"/>
          </w:tcPr>
          <w:p>
            <w:r>
              <w:rPr>
                <w:b/>
              </w:rPr>
              <w:t>Out-of-Network</w:t>
            </w:r>
          </w:p>
        </w:tc>
      </w:tr>
      <w:tr>
        <w:tc>
          <w:tcPr>
            <w:tcW w:type="dxa" w:w="2880"/>
          </w:tcPr>
          <w:p>
            <w:r>
              <w:t>Monthly Premium (EE only)</w:t>
            </w:r>
          </w:p>
        </w:tc>
        <w:tc>
          <w:tcPr>
            <w:tcW w:type="dxa" w:w="2880"/>
          </w:tcPr>
          <w:p>
            <w:r>
              <w:t>$185</w:t>
            </w:r>
          </w:p>
        </w:tc>
        <w:tc>
          <w:tcPr>
            <w:tcW w:type="dxa" w:w="2880"/>
          </w:tcPr>
          <w:p>
            <w:r>
              <w:t>—</w:t>
            </w:r>
          </w:p>
        </w:tc>
      </w:tr>
      <w:tr>
        <w:tc>
          <w:tcPr>
            <w:tcW w:type="dxa" w:w="2880"/>
          </w:tcPr>
          <w:p>
            <w:r>
              <w:t>Monthly Premium (EE + Spouse)</w:t>
            </w:r>
          </w:p>
        </w:tc>
        <w:tc>
          <w:tcPr>
            <w:tcW w:type="dxa" w:w="2880"/>
          </w:tcPr>
          <w:p>
            <w:r>
              <w:t>$420</w:t>
            </w:r>
          </w:p>
        </w:tc>
        <w:tc>
          <w:tcPr>
            <w:tcW w:type="dxa" w:w="2880"/>
          </w:tcPr>
          <w:p>
            <w:r>
              <w:t>—</w:t>
            </w:r>
          </w:p>
        </w:tc>
      </w:tr>
      <w:tr>
        <w:tc>
          <w:tcPr>
            <w:tcW w:type="dxa" w:w="2880"/>
          </w:tcPr>
          <w:p>
            <w:r>
              <w:t>Monthly Premium (EE + Children)</w:t>
            </w:r>
          </w:p>
        </w:tc>
        <w:tc>
          <w:tcPr>
            <w:tcW w:type="dxa" w:w="2880"/>
          </w:tcPr>
          <w:p>
            <w:r>
              <w:t>$370</w:t>
            </w:r>
          </w:p>
        </w:tc>
        <w:tc>
          <w:tcPr>
            <w:tcW w:type="dxa" w:w="2880"/>
          </w:tcPr>
          <w:p>
            <w:r>
              <w:t>—</w:t>
            </w:r>
          </w:p>
        </w:tc>
      </w:tr>
      <w:tr>
        <w:tc>
          <w:tcPr>
            <w:tcW w:type="dxa" w:w="2880"/>
          </w:tcPr>
          <w:p>
            <w:r>
              <w:t>Monthly Premium (Family)</w:t>
            </w:r>
          </w:p>
        </w:tc>
        <w:tc>
          <w:tcPr>
            <w:tcW w:type="dxa" w:w="2880"/>
          </w:tcPr>
          <w:p>
            <w:r>
              <w:t>$595</w:t>
            </w:r>
          </w:p>
        </w:tc>
        <w:tc>
          <w:tcPr>
            <w:tcW w:type="dxa" w:w="2880"/>
          </w:tcPr>
          <w:p>
            <w:r>
              <w:t>—</w:t>
            </w:r>
          </w:p>
        </w:tc>
      </w:tr>
      <w:tr>
        <w:tc>
          <w:tcPr>
            <w:tcW w:type="dxa" w:w="2880"/>
          </w:tcPr>
          <w:p>
            <w:r>
              <w:t>Annual Deductible (Individual)</w:t>
            </w:r>
          </w:p>
        </w:tc>
        <w:tc>
          <w:tcPr>
            <w:tcW w:type="dxa" w:w="2880"/>
          </w:tcPr>
          <w:p>
            <w:r>
              <w:t>$500</w:t>
            </w:r>
          </w:p>
        </w:tc>
        <w:tc>
          <w:tcPr>
            <w:tcW w:type="dxa" w:w="2880"/>
          </w:tcPr>
          <w:p>
            <w:r>
              <w:t>$1,500</w:t>
            </w:r>
          </w:p>
        </w:tc>
      </w:tr>
      <w:tr>
        <w:tc>
          <w:tcPr>
            <w:tcW w:type="dxa" w:w="2880"/>
          </w:tcPr>
          <w:p>
            <w:r>
              <w:t>Annual Deductible (Family)</w:t>
            </w:r>
          </w:p>
        </w:tc>
        <w:tc>
          <w:tcPr>
            <w:tcW w:type="dxa" w:w="2880"/>
          </w:tcPr>
          <w:p>
            <w:r>
              <w:t>$1,000</w:t>
            </w:r>
          </w:p>
        </w:tc>
        <w:tc>
          <w:tcPr>
            <w:tcW w:type="dxa" w:w="2880"/>
          </w:tcPr>
          <w:p>
            <w:r>
              <w:t>$3,000</w:t>
            </w:r>
          </w:p>
        </w:tc>
      </w:tr>
      <w:tr>
        <w:tc>
          <w:tcPr>
            <w:tcW w:type="dxa" w:w="2880"/>
          </w:tcPr>
          <w:p>
            <w:r>
              <w:t>Out-of-Pocket Max (Individual)</w:t>
            </w:r>
          </w:p>
        </w:tc>
        <w:tc>
          <w:tcPr>
            <w:tcW w:type="dxa" w:w="2880"/>
          </w:tcPr>
          <w:p>
            <w:r>
              <w:t>$4,000</w:t>
            </w:r>
          </w:p>
        </w:tc>
        <w:tc>
          <w:tcPr>
            <w:tcW w:type="dxa" w:w="2880"/>
          </w:tcPr>
          <w:p>
            <w:r>
              <w:t>$8,000</w:t>
            </w:r>
          </w:p>
        </w:tc>
      </w:tr>
      <w:tr>
        <w:tc>
          <w:tcPr>
            <w:tcW w:type="dxa" w:w="2880"/>
          </w:tcPr>
          <w:p>
            <w:r>
              <w:t>Primary Care Visit</w:t>
            </w:r>
          </w:p>
        </w:tc>
        <w:tc>
          <w:tcPr>
            <w:tcW w:type="dxa" w:w="2880"/>
          </w:tcPr>
          <w:p>
            <w:r>
              <w:t>$25 copay</w:t>
            </w:r>
          </w:p>
        </w:tc>
        <w:tc>
          <w:tcPr>
            <w:tcW w:type="dxa" w:w="2880"/>
          </w:tcPr>
          <w:p>
            <w:r>
              <w:t>40% after deductible</w:t>
            </w:r>
          </w:p>
        </w:tc>
      </w:tr>
      <w:tr>
        <w:tc>
          <w:tcPr>
            <w:tcW w:type="dxa" w:w="2880"/>
          </w:tcPr>
          <w:p>
            <w:r>
              <w:t>Specialist Visit</w:t>
            </w:r>
          </w:p>
        </w:tc>
        <w:tc>
          <w:tcPr>
            <w:tcW w:type="dxa" w:w="2880"/>
          </w:tcPr>
          <w:p>
            <w:r>
              <w:t>$40 copay</w:t>
            </w:r>
          </w:p>
        </w:tc>
        <w:tc>
          <w:tcPr>
            <w:tcW w:type="dxa" w:w="2880"/>
          </w:tcPr>
          <w:p>
            <w:r>
              <w:t>40% after deductible</w:t>
            </w:r>
          </w:p>
        </w:tc>
      </w:tr>
      <w:tr>
        <w:tc>
          <w:tcPr>
            <w:tcW w:type="dxa" w:w="2880"/>
          </w:tcPr>
          <w:p>
            <w:r>
              <w:t>Preventive Care</w:t>
            </w:r>
          </w:p>
        </w:tc>
        <w:tc>
          <w:tcPr>
            <w:tcW w:type="dxa" w:w="2880"/>
          </w:tcPr>
          <w:p>
            <w:r>
              <w:t>$0 (100% covered)</w:t>
            </w:r>
          </w:p>
        </w:tc>
        <w:tc>
          <w:tcPr>
            <w:tcW w:type="dxa" w:w="2880"/>
          </w:tcPr>
          <w:p>
            <w:r>
              <w:t>40% after deductible</w:t>
            </w:r>
          </w:p>
        </w:tc>
      </w:tr>
      <w:tr>
        <w:tc>
          <w:tcPr>
            <w:tcW w:type="dxa" w:w="2880"/>
          </w:tcPr>
          <w:p>
            <w:r>
              <w:t>Emergency Room</w:t>
            </w:r>
          </w:p>
        </w:tc>
        <w:tc>
          <w:tcPr>
            <w:tcW w:type="dxa" w:w="2880"/>
          </w:tcPr>
          <w:p>
            <w:r>
              <w:t>$200 copay</w:t>
            </w:r>
          </w:p>
        </w:tc>
        <w:tc>
          <w:tcPr>
            <w:tcW w:type="dxa" w:w="2880"/>
          </w:tcPr>
          <w:p>
            <w:r>
              <w:t>$200 copay</w:t>
            </w:r>
          </w:p>
        </w:tc>
      </w:tr>
      <w:tr>
        <w:tc>
          <w:tcPr>
            <w:tcW w:type="dxa" w:w="2880"/>
          </w:tcPr>
          <w:p>
            <w:r>
              <w:t>Rx – Generic</w:t>
            </w:r>
          </w:p>
        </w:tc>
        <w:tc>
          <w:tcPr>
            <w:tcW w:type="dxa" w:w="2880"/>
          </w:tcPr>
          <w:p>
            <w:r>
              <w:t>$10 copay</w:t>
            </w:r>
          </w:p>
        </w:tc>
        <w:tc>
          <w:tcPr>
            <w:tcW w:type="dxa" w:w="2880"/>
          </w:tcPr>
          <w:p>
            <w:r>
              <w:t>$25 copay</w:t>
            </w:r>
          </w:p>
        </w:tc>
      </w:tr>
      <w:tr>
        <w:tc>
          <w:tcPr>
            <w:tcW w:type="dxa" w:w="2880"/>
          </w:tcPr>
          <w:p>
            <w:r>
              <w:t>Rx – Brand Preferred</w:t>
            </w:r>
          </w:p>
        </w:tc>
        <w:tc>
          <w:tcPr>
            <w:tcW w:type="dxa" w:w="2880"/>
          </w:tcPr>
          <w:p>
            <w:r>
              <w:t>$35 copay</w:t>
            </w:r>
          </w:p>
        </w:tc>
        <w:tc>
          <w:tcPr>
            <w:tcW w:type="dxa" w:w="2880"/>
          </w:tcPr>
          <w:p>
            <w:r>
              <w:t>$60 copay</w:t>
            </w:r>
          </w:p>
        </w:tc>
      </w:tr>
      <w:tr>
        <w:tc>
          <w:tcPr>
            <w:tcW w:type="dxa" w:w="2880"/>
          </w:tcPr>
          <w:p>
            <w:r>
              <w:t>Rx – Specialty</w:t>
            </w:r>
          </w:p>
        </w:tc>
        <w:tc>
          <w:tcPr>
            <w:tcW w:type="dxa" w:w="2880"/>
          </w:tcPr>
          <w:p>
            <w:r>
              <w:t>20% up to $200</w:t>
            </w:r>
          </w:p>
        </w:tc>
        <w:tc>
          <w:tcPr>
            <w:tcW w:type="dxa" w:w="2880"/>
          </w:tcPr>
          <w:p>
            <w:r>
              <w:t>30% up to $300</w:t>
            </w:r>
          </w:p>
        </w:tc>
      </w:tr>
      <w:tr>
        <w:tc>
          <w:tcPr>
            <w:tcW w:type="dxa" w:w="2880"/>
          </w:tcPr>
          <w:p>
            <w:r>
              <w:t>Mental Health – Outpatient</w:t>
            </w:r>
          </w:p>
        </w:tc>
        <w:tc>
          <w:tcPr>
            <w:tcW w:type="dxa" w:w="2880"/>
          </w:tcPr>
          <w:p>
            <w:r>
              <w:t>$25 copay</w:t>
            </w:r>
          </w:p>
        </w:tc>
        <w:tc>
          <w:tcPr>
            <w:tcW w:type="dxa" w:w="2880"/>
          </w:tcPr>
          <w:p>
            <w:r>
              <w:t>40% after deductible</w:t>
            </w:r>
          </w:p>
        </w:tc>
      </w:tr>
    </w:tbl>
    <w:p/>
    <w:p>
      <w:r>
        <w:t>Best for: Employees who want flexibility to see any provider without referrals.</w:t>
      </w:r>
    </w:p>
    <w:p>
      <w:pPr>
        <w:pStyle w:val="Heading3"/>
      </w:pPr>
      <w:r>
        <w:t>2.2 HDHP Plan with HSA</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In-Network</w:t>
            </w:r>
          </w:p>
        </w:tc>
        <w:tc>
          <w:tcPr>
            <w:tcW w:type="dxa" w:w="2880"/>
          </w:tcPr>
          <w:p>
            <w:r>
              <w:rPr>
                <w:b/>
              </w:rPr>
              <w:t>Out-of-Network</w:t>
            </w:r>
          </w:p>
        </w:tc>
      </w:tr>
      <w:tr>
        <w:tc>
          <w:tcPr>
            <w:tcW w:type="dxa" w:w="2880"/>
          </w:tcPr>
          <w:p>
            <w:r>
              <w:t>Monthly Premium (EE only)</w:t>
            </w:r>
          </w:p>
        </w:tc>
        <w:tc>
          <w:tcPr>
            <w:tcW w:type="dxa" w:w="2880"/>
          </w:tcPr>
          <w:p>
            <w:r>
              <w:t>$95</w:t>
            </w:r>
          </w:p>
        </w:tc>
        <w:tc>
          <w:tcPr>
            <w:tcW w:type="dxa" w:w="2880"/>
          </w:tcPr>
          <w:p>
            <w:r>
              <w:t>—</w:t>
            </w:r>
          </w:p>
        </w:tc>
      </w:tr>
      <w:tr>
        <w:tc>
          <w:tcPr>
            <w:tcW w:type="dxa" w:w="2880"/>
          </w:tcPr>
          <w:p>
            <w:r>
              <w:t>Monthly Premium (Family)</w:t>
            </w:r>
          </w:p>
        </w:tc>
        <w:tc>
          <w:tcPr>
            <w:tcW w:type="dxa" w:w="2880"/>
          </w:tcPr>
          <w:p>
            <w:r>
              <w:t>$320</w:t>
            </w:r>
          </w:p>
        </w:tc>
        <w:tc>
          <w:tcPr>
            <w:tcW w:type="dxa" w:w="2880"/>
          </w:tcPr>
          <w:p>
            <w:r>
              <w:t>—</w:t>
            </w:r>
          </w:p>
        </w:tc>
      </w:tr>
      <w:tr>
        <w:tc>
          <w:tcPr>
            <w:tcW w:type="dxa" w:w="2880"/>
          </w:tcPr>
          <w:p>
            <w:r>
              <w:t>Annual Deductible (Individual)</w:t>
            </w:r>
          </w:p>
        </w:tc>
        <w:tc>
          <w:tcPr>
            <w:tcW w:type="dxa" w:w="2880"/>
          </w:tcPr>
          <w:p>
            <w:r>
              <w:t>$1,600</w:t>
            </w:r>
          </w:p>
        </w:tc>
        <w:tc>
          <w:tcPr>
            <w:tcW w:type="dxa" w:w="2880"/>
          </w:tcPr>
          <w:p>
            <w:r>
              <w:t>$3,200</w:t>
            </w:r>
          </w:p>
        </w:tc>
      </w:tr>
      <w:tr>
        <w:tc>
          <w:tcPr>
            <w:tcW w:type="dxa" w:w="2880"/>
          </w:tcPr>
          <w:p>
            <w:r>
              <w:t>Annual Deductible (Family)</w:t>
            </w:r>
          </w:p>
        </w:tc>
        <w:tc>
          <w:tcPr>
            <w:tcW w:type="dxa" w:w="2880"/>
          </w:tcPr>
          <w:p>
            <w:r>
              <w:t>$3,200</w:t>
            </w:r>
          </w:p>
        </w:tc>
        <w:tc>
          <w:tcPr>
            <w:tcW w:type="dxa" w:w="2880"/>
          </w:tcPr>
          <w:p>
            <w:r>
              <w:t>$6,400</w:t>
            </w:r>
          </w:p>
        </w:tc>
      </w:tr>
      <w:tr>
        <w:tc>
          <w:tcPr>
            <w:tcW w:type="dxa" w:w="2880"/>
          </w:tcPr>
          <w:p>
            <w:r>
              <w:t>Out-of-Pocket Max (Individual)</w:t>
            </w:r>
          </w:p>
        </w:tc>
        <w:tc>
          <w:tcPr>
            <w:tcW w:type="dxa" w:w="2880"/>
          </w:tcPr>
          <w:p>
            <w:r>
              <w:t>$5,000</w:t>
            </w:r>
          </w:p>
        </w:tc>
        <w:tc>
          <w:tcPr>
            <w:tcW w:type="dxa" w:w="2880"/>
          </w:tcPr>
          <w:p>
            <w:r>
              <w:t>$10,000</w:t>
            </w:r>
          </w:p>
        </w:tc>
      </w:tr>
      <w:tr>
        <w:tc>
          <w:tcPr>
            <w:tcW w:type="dxa" w:w="2880"/>
          </w:tcPr>
          <w:p>
            <w:r>
              <w:t>All Services After Deductible</w:t>
            </w:r>
          </w:p>
        </w:tc>
        <w:tc>
          <w:tcPr>
            <w:tcW w:type="dxa" w:w="2880"/>
          </w:tcPr>
          <w:p>
            <w:r>
              <w:t>10% coinsurance</w:t>
            </w:r>
          </w:p>
        </w:tc>
        <w:tc>
          <w:tcPr>
            <w:tcW w:type="dxa" w:w="2880"/>
          </w:tcPr>
          <w:p>
            <w:r>
              <w:t>30% coinsurance</w:t>
            </w:r>
          </w:p>
        </w:tc>
      </w:tr>
      <w:tr>
        <w:tc>
          <w:tcPr>
            <w:tcW w:type="dxa" w:w="2880"/>
          </w:tcPr>
          <w:p>
            <w:r>
              <w:t>Preventive Care</w:t>
            </w:r>
          </w:p>
        </w:tc>
        <w:tc>
          <w:tcPr>
            <w:tcW w:type="dxa" w:w="2880"/>
          </w:tcPr>
          <w:p>
            <w:r>
              <w:t>$0 (100% covered)</w:t>
            </w:r>
          </w:p>
        </w:tc>
        <w:tc>
          <w:tcPr>
            <w:tcW w:type="dxa" w:w="2880"/>
          </w:tcPr>
          <w:p>
            <w:r>
              <w:t>30% after deductible</w:t>
            </w:r>
          </w:p>
        </w:tc>
      </w:tr>
      <w:tr>
        <w:tc>
          <w:tcPr>
            <w:tcW w:type="dxa" w:w="2880"/>
          </w:tcPr>
          <w:p>
            <w:r>
              <w:t>HSA Employer Contribution</w:t>
            </w:r>
          </w:p>
        </w:tc>
        <w:tc>
          <w:tcPr>
            <w:tcW w:type="dxa" w:w="2880"/>
          </w:tcPr>
          <w:p>
            <w:r>
              <w:t>$750 (EE) / $1,500 (Family)</w:t>
            </w:r>
          </w:p>
        </w:tc>
        <w:tc>
          <w:tcPr>
            <w:tcW w:type="dxa" w:w="2880"/>
          </w:tcPr>
          <w:p>
            <w:r>
              <w:t>—</w:t>
            </w:r>
          </w:p>
        </w:tc>
      </w:tr>
    </w:tbl>
    <w:p/>
    <w:p>
      <w:r>
        <w:t>HSA Contribution Limits (2026): Individual $4,300 | Family $8,550 | Catch-up (55+) additional $1,000</w:t>
      </w:r>
    </w:p>
    <w:p>
      <w:r>
        <w:t>Best for: Healthy employees who want lower premiums and tax-free HSA savings.</w:t>
      </w:r>
    </w:p>
    <w:p>
      <w:pPr>
        <w:pStyle w:val="Heading3"/>
      </w:pPr>
      <w:r>
        <w:t>2.3 HMO Plan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In-Network Only</w:t>
            </w:r>
          </w:p>
        </w:tc>
      </w:tr>
      <w:tr>
        <w:tc>
          <w:tcPr>
            <w:tcW w:type="dxa" w:w="4320"/>
          </w:tcPr>
          <w:p>
            <w:r>
              <w:t>Monthly Premium (EE only)</w:t>
            </w:r>
          </w:p>
        </w:tc>
        <w:tc>
          <w:tcPr>
            <w:tcW w:type="dxa" w:w="4320"/>
          </w:tcPr>
          <w:p>
            <w:r>
              <w:t>$145</w:t>
            </w:r>
          </w:p>
        </w:tc>
      </w:tr>
      <w:tr>
        <w:tc>
          <w:tcPr>
            <w:tcW w:type="dxa" w:w="4320"/>
          </w:tcPr>
          <w:p>
            <w:r>
              <w:t>Monthly Premium (Family)</w:t>
            </w:r>
          </w:p>
        </w:tc>
        <w:tc>
          <w:tcPr>
            <w:tcW w:type="dxa" w:w="4320"/>
          </w:tcPr>
          <w:p>
            <w:r>
              <w:t>$475</w:t>
            </w:r>
          </w:p>
        </w:tc>
      </w:tr>
      <w:tr>
        <w:tc>
          <w:tcPr>
            <w:tcW w:type="dxa" w:w="4320"/>
          </w:tcPr>
          <w:p>
            <w:r>
              <w:t>Annual Deductible (Individual)</w:t>
            </w:r>
          </w:p>
        </w:tc>
        <w:tc>
          <w:tcPr>
            <w:tcW w:type="dxa" w:w="4320"/>
          </w:tcPr>
          <w:p>
            <w:r>
              <w:t>$250</w:t>
            </w:r>
          </w:p>
        </w:tc>
      </w:tr>
      <w:tr>
        <w:tc>
          <w:tcPr>
            <w:tcW w:type="dxa" w:w="4320"/>
          </w:tcPr>
          <w:p>
            <w:r>
              <w:t>Out-of-Pocket Max (Individual)</w:t>
            </w:r>
          </w:p>
        </w:tc>
        <w:tc>
          <w:tcPr>
            <w:tcW w:type="dxa" w:w="4320"/>
          </w:tcPr>
          <w:p>
            <w:r>
              <w:t>$3,500</w:t>
            </w:r>
          </w:p>
        </w:tc>
      </w:tr>
      <w:tr>
        <w:tc>
          <w:tcPr>
            <w:tcW w:type="dxa" w:w="4320"/>
          </w:tcPr>
          <w:p>
            <w:r>
              <w:t>Primary Care Visit</w:t>
            </w:r>
          </w:p>
        </w:tc>
        <w:tc>
          <w:tcPr>
            <w:tcW w:type="dxa" w:w="4320"/>
          </w:tcPr>
          <w:p>
            <w:r>
              <w:t>$20 copay</w:t>
            </w:r>
          </w:p>
        </w:tc>
      </w:tr>
      <w:tr>
        <w:tc>
          <w:tcPr>
            <w:tcW w:type="dxa" w:w="4320"/>
          </w:tcPr>
          <w:p>
            <w:r>
              <w:t>Specialist Visit (requires referral)</w:t>
            </w:r>
          </w:p>
        </w:tc>
        <w:tc>
          <w:tcPr>
            <w:tcW w:type="dxa" w:w="4320"/>
          </w:tcPr>
          <w:p>
            <w:r>
              <w:t>$35 copay</w:t>
            </w:r>
          </w:p>
        </w:tc>
      </w:tr>
      <w:tr>
        <w:tc>
          <w:tcPr>
            <w:tcW w:type="dxa" w:w="4320"/>
          </w:tcPr>
          <w:p>
            <w:r>
              <w:t>Emergency Room</w:t>
            </w:r>
          </w:p>
        </w:tc>
        <w:tc>
          <w:tcPr>
            <w:tcW w:type="dxa" w:w="4320"/>
          </w:tcPr>
          <w:p>
            <w:r>
              <w:t>$150 copay</w:t>
            </w:r>
          </w:p>
        </w:tc>
      </w:tr>
      <w:tr>
        <w:tc>
          <w:tcPr>
            <w:tcW w:type="dxa" w:w="4320"/>
          </w:tcPr>
          <w:p>
            <w:r>
              <w:t>Rx – Generic</w:t>
            </w:r>
          </w:p>
        </w:tc>
        <w:tc>
          <w:tcPr>
            <w:tcW w:type="dxa" w:w="4320"/>
          </w:tcPr>
          <w:p>
            <w:r>
              <w:t>$5 copay</w:t>
            </w:r>
          </w:p>
        </w:tc>
      </w:tr>
    </w:tbl>
    <w:p/>
    <w:p>
      <w:r>
        <w:t>Note: HMO requires a PCP and referrals for specialists. Out-of-network not covered except emergencies.</w:t>
      </w:r>
    </w:p>
    <w:p>
      <w:pPr>
        <w:pStyle w:val="Heading2"/>
      </w:pPr>
      <w:r>
        <w:t>3. Qualifying Life Events</w:t>
      </w:r>
    </w:p>
    <w:p>
      <w:r>
        <w:t>You may make changes within 30 days of a qualifying life event:</w:t>
      </w:r>
    </w:p>
    <w:p>
      <w:pPr>
        <w:pStyle w:val="ListBullet"/>
      </w:pPr>
      <w:r>
        <w:t>Marriage or divorce</w:t>
      </w:r>
    </w:p>
    <w:p>
      <w:pPr>
        <w:pStyle w:val="ListBullet"/>
      </w:pPr>
      <w:r>
        <w:t>Birth, adoption, or placement of a child</w:t>
      </w:r>
    </w:p>
    <w:p>
      <w:pPr>
        <w:pStyle w:val="ListBullet"/>
      </w:pPr>
      <w:r>
        <w:t>Death of a spouse or dependent</w:t>
      </w:r>
    </w:p>
    <w:p>
      <w:pPr>
        <w:pStyle w:val="ListBullet"/>
      </w:pPr>
      <w:r>
        <w:t>Loss of other coverage (spouse's plan, COBRA exhaustion, aging out)</w:t>
      </w:r>
    </w:p>
    <w:p>
      <w:pPr>
        <w:pStyle w:val="ListBullet"/>
      </w:pPr>
      <w:r>
        <w:t>Gain of other coverage</w:t>
      </w:r>
    </w:p>
    <w:p>
      <w:pPr>
        <w:pStyle w:val="ListBullet"/>
      </w:pPr>
      <w:r>
        <w:t>Change in employment status affecting eligibility</w:t>
      </w:r>
    </w:p>
    <w:p>
      <w:pPr>
        <w:pStyle w:val="ListBullet"/>
      </w:pPr>
      <w:r>
        <w:t>Court order requiring coverage</w:t>
      </w:r>
    </w:p>
    <w:p>
      <w:r>
        <w:rPr>
          <w:b/>
        </w:rPr>
        <w:t>Important: You must notify HR and submit changes within 30 days of the event. Supporting documentation is required.</w:t>
      </w:r>
    </w:p>
    <w:p>
      <w:pPr>
        <w:pStyle w:val="Heading2"/>
      </w:pPr>
      <w:r>
        <w:t>4. COBRA Continuation</w:t>
      </w:r>
    </w:p>
    <w:p>
      <w:r>
        <w:t>If you lose coverage due to termination or reduction in hours, you and your dependents may continue coverage under COBRA for up to 18 months (36 months for certain events) at full cost plus 2% admin fee.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