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BEN-004: 401(k) Retirement Plan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ID</w:t>
            </w:r>
          </w:p>
        </w:tc>
        <w:tc>
          <w:tcPr>
            <w:tcW w:type="dxa" w:w="4320"/>
          </w:tcPr>
          <w:p>
            <w:r>
              <w:t>BEN-004</w:t>
            </w:r>
          </w:p>
        </w:tc>
      </w:tr>
      <w:tr>
        <w:tc>
          <w:tcPr>
            <w:tcW w:type="dxa" w:w="4320"/>
          </w:tcPr>
          <w:p>
            <w:r>
              <w:t>Plan Year</w:t>
            </w:r>
          </w:p>
        </w:tc>
        <w:tc>
          <w:tcPr>
            <w:tcW w:type="dxa" w:w="4320"/>
          </w:tcPr>
          <w:p>
            <w:r>
              <w:t>January 1 – December 31, 2026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VP of Total Rewards</w:t>
            </w:r>
          </w:p>
        </w:tc>
      </w:tr>
    </w:tbl>
    <w:p/>
    <w:p>
      <w:pPr>
        <w:pStyle w:val="Heading2"/>
      </w:pPr>
      <w:r>
        <w:t>1. Eligibility</w:t>
      </w:r>
    </w:p>
    <w:p>
      <w:r>
        <w:t>All employees age 21+ are eligible to participate after 90 days of employment. Auto-enrollment at 6% of pay.</w:t>
      </w:r>
    </w:p>
    <w:p>
      <w:pPr>
        <w:pStyle w:val="Heading2"/>
      </w:pPr>
      <w:r>
        <w:t>2. Contribution Limits (2026)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Limit</w:t>
            </w:r>
          </w:p>
        </w:tc>
      </w:tr>
      <w:tr>
        <w:tc>
          <w:tcPr>
            <w:tcW w:type="dxa" w:w="4320"/>
          </w:tcPr>
          <w:p>
            <w:r>
              <w:t>Employee pre-tax/Roth</w:t>
            </w:r>
          </w:p>
        </w:tc>
        <w:tc>
          <w:tcPr>
            <w:tcW w:type="dxa" w:w="4320"/>
          </w:tcPr>
          <w:p>
            <w:r>
              <w:t>$23,500</w:t>
            </w:r>
          </w:p>
        </w:tc>
      </w:tr>
      <w:tr>
        <w:tc>
          <w:tcPr>
            <w:tcW w:type="dxa" w:w="4320"/>
          </w:tcPr>
          <w:p>
            <w:r>
              <w:t>Catch-up (age 50-59, 64+)</w:t>
            </w:r>
          </w:p>
        </w:tc>
        <w:tc>
          <w:tcPr>
            <w:tcW w:type="dxa" w:w="4320"/>
          </w:tcPr>
          <w:p>
            <w:r>
              <w:t>Additional $7,500</w:t>
            </w:r>
          </w:p>
        </w:tc>
      </w:tr>
      <w:tr>
        <w:tc>
          <w:tcPr>
            <w:tcW w:type="dxa" w:w="4320"/>
          </w:tcPr>
          <w:p>
            <w:r>
              <w:t>Super catch-up (age 60-63)</w:t>
            </w:r>
          </w:p>
        </w:tc>
        <w:tc>
          <w:tcPr>
            <w:tcW w:type="dxa" w:w="4320"/>
          </w:tcPr>
          <w:p>
            <w:r>
              <w:t>Additional $11,250</w:t>
            </w:r>
          </w:p>
        </w:tc>
      </w:tr>
      <w:tr>
        <w:tc>
          <w:tcPr>
            <w:tcW w:type="dxa" w:w="4320"/>
          </w:tcPr>
          <w:p>
            <w:r>
              <w:t>Combined employee + employer</w:t>
            </w:r>
          </w:p>
        </w:tc>
        <w:tc>
          <w:tcPr>
            <w:tcW w:type="dxa" w:w="4320"/>
          </w:tcPr>
          <w:p>
            <w:r>
              <w:t>$70,000</w:t>
            </w:r>
          </w:p>
        </w:tc>
      </w:tr>
    </w:tbl>
    <w:p/>
    <w:p>
      <w:pPr>
        <w:pStyle w:val="Heading2"/>
      </w:pPr>
      <w:r>
        <w:t>3. Employer Match</w:t>
      </w:r>
    </w:p>
    <w:p>
      <w:r>
        <w:t>The company matches 100% of the first 4% of pay and 50% of the next 2% of pay (up to 5% total match). Vesting schedule: 100% vested after 3 years of service (cliff vesting).</w:t>
      </w:r>
    </w:p>
    <w:p>
      <w:pPr>
        <w:pStyle w:val="Heading2"/>
      </w:pPr>
      <w:r>
        <w:t>4. Investment Options</w:t>
      </w:r>
    </w:p>
    <w:p>
      <w:pPr>
        <w:pStyle w:val="ListBullet"/>
      </w:pPr>
      <w:r>
        <w:t>Target-date funds (default investment)</w:t>
      </w:r>
    </w:p>
    <w:p>
      <w:pPr>
        <w:pStyle w:val="ListBullet"/>
      </w:pPr>
      <w:r>
        <w:t>Index funds (S&amp;P 500, Total Bond, International)</w:t>
      </w:r>
    </w:p>
    <w:p>
      <w:pPr>
        <w:pStyle w:val="ListBullet"/>
      </w:pPr>
      <w:r>
        <w:t>Actively managed funds</w:t>
      </w:r>
    </w:p>
    <w:p>
      <w:pPr>
        <w:pStyle w:val="ListBullet"/>
      </w:pPr>
      <w:r>
        <w:t>Company stock (limited to 10% of balance)</w:t>
      </w:r>
    </w:p>
    <w:p>
      <w:pPr>
        <w:pStyle w:val="ListBullet"/>
      </w:pPr>
      <w:r>
        <w:t>Self-directed brokerage window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