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EEO-001: Anti-Discrimination &amp; Equal Employment Opportunity Policy</w:t>
      </w:r>
    </w:p>
    <w:tbl>
      <w:tblPr>
        <w:tblStyle w:val="LightGrid-Accent1"/>
        <w:tblW w:type="auto" w:w="0"/>
        <w:jc w:val="left"/>
        <w:tblLook w:firstColumn="1" w:firstRow="1" w:lastColumn="0" w:lastRow="0" w:noHBand="0" w:noVBand="1" w:val="04A0"/>
      </w:tblPr>
      <w:tblGrid>
        <w:gridCol w:w="4320"/>
        <w:gridCol w:w="4320"/>
      </w:tblGrid>
      <w:tr>
        <w:tc>
          <w:tcPr>
            <w:tcW w:type="dxa" w:w="4320"/>
          </w:tcPr>
          <w:p>
            <w:r>
              <w:t>Policy ID</w:t>
            </w:r>
          </w:p>
        </w:tc>
        <w:tc>
          <w:tcPr>
            <w:tcW w:type="dxa" w:w="4320"/>
          </w:tcPr>
          <w:p>
            <w:r>
              <w:t>EEO-001</w:t>
            </w:r>
          </w:p>
        </w:tc>
      </w:tr>
      <w:tr>
        <w:tc>
          <w:tcPr>
            <w:tcW w:type="dxa" w:w="4320"/>
          </w:tcPr>
          <w:p>
            <w:r>
              <w:t>Effective Date</w:t>
            </w:r>
          </w:p>
        </w:tc>
        <w:tc>
          <w:tcPr>
            <w:tcW w:type="dxa" w:w="4320"/>
          </w:tcPr>
          <w:p>
            <w:r>
              <w:t>January 1, 2025</w:t>
            </w:r>
          </w:p>
        </w:tc>
      </w:tr>
      <w:tr>
        <w:tc>
          <w:tcPr>
            <w:tcW w:type="dxa" w:w="4320"/>
          </w:tcPr>
          <w:p>
            <w:r>
              <w:t>Last Reviewed</w:t>
            </w:r>
          </w:p>
        </w:tc>
        <w:tc>
          <w:tcPr>
            <w:tcW w:type="dxa" w:w="4320"/>
          </w:tcPr>
          <w:p>
            <w:r>
              <w:t>February 1, 2026</w:t>
            </w:r>
          </w:p>
        </w:tc>
      </w:tr>
      <w:tr>
        <w:tc>
          <w:tcPr>
            <w:tcW w:type="dxa" w:w="4320"/>
          </w:tcPr>
          <w:p>
            <w:r>
              <w:t>Owner</w:t>
            </w:r>
          </w:p>
        </w:tc>
        <w:tc>
          <w:tcPr>
            <w:tcW w:type="dxa" w:w="4320"/>
          </w:tcPr>
          <w:p>
            <w:r>
              <w:t>Chief Human Resources Officer &amp; General Counsel</w:t>
            </w:r>
          </w:p>
        </w:tc>
      </w:tr>
      <w:tr>
        <w:tc>
          <w:tcPr>
            <w:tcW w:type="dxa" w:w="4320"/>
          </w:tcPr>
          <w:p>
            <w:r>
              <w:t>Applies To</w:t>
            </w:r>
          </w:p>
        </w:tc>
        <w:tc>
          <w:tcPr>
            <w:tcW w:type="dxa" w:w="4320"/>
          </w:tcPr>
          <w:p>
            <w:r>
              <w:t>All employees, applicants, contractors, and vendors</w:t>
            </w:r>
          </w:p>
        </w:tc>
      </w:tr>
      <w:tr>
        <w:tc>
          <w:tcPr>
            <w:tcW w:type="dxa" w:w="4320"/>
          </w:tcPr>
          <w:p>
            <w:r>
              <w:t>Classification</w:t>
            </w:r>
          </w:p>
        </w:tc>
        <w:tc>
          <w:tcPr>
            <w:tcW w:type="dxa" w:w="4320"/>
          </w:tcPr>
          <w:p>
            <w:r>
              <w:t>Internal – All Employees</w:t>
            </w:r>
          </w:p>
        </w:tc>
      </w:tr>
    </w:tbl>
    <w:p/>
    <w:p>
      <w:pPr>
        <w:pStyle w:val="Heading2"/>
      </w:pPr>
      <w:r>
        <w:t>1. Policy Statement</w:t>
      </w:r>
    </w:p>
    <w:p>
      <w:r>
        <w:t>The company is committed to providing equal employment opportunities to all employees and applicants without regard to race, color, religion, sex (including pregnancy, sexual orientation, and gender identity), national origin, age (40 and over), disability, genetic information, veteran status, or any other characteristic protected by applicable federal, state, or local law.</w:t>
      </w:r>
    </w:p>
    <w:p>
      <w:pPr>
        <w:pStyle w:val="Heading2"/>
      </w:pPr>
      <w:r>
        <w:t>2. Protected Characteristics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Protected Characteristic</w:t>
            </w:r>
          </w:p>
        </w:tc>
        <w:tc>
          <w:tcPr>
            <w:tcW w:type="dxa" w:w="4320"/>
          </w:tcPr>
          <w:p>
            <w:r>
              <w:rPr>
                <w:b/>
              </w:rPr>
              <w:t>Applicable Law</w:t>
            </w:r>
          </w:p>
        </w:tc>
      </w:tr>
      <w:tr>
        <w:tc>
          <w:tcPr>
            <w:tcW w:type="dxa" w:w="4320"/>
          </w:tcPr>
          <w:p>
            <w:r>
              <w:t>Race, color, ethnicity</w:t>
            </w:r>
          </w:p>
        </w:tc>
        <w:tc>
          <w:tcPr>
            <w:tcW w:type="dxa" w:w="4320"/>
          </w:tcPr>
          <w:p>
            <w:r>
              <w:t>Title VII of the Civil Rights Act</w:t>
            </w:r>
          </w:p>
        </w:tc>
      </w:tr>
      <w:tr>
        <w:tc>
          <w:tcPr>
            <w:tcW w:type="dxa" w:w="4320"/>
          </w:tcPr>
          <w:p>
            <w:r>
              <w:t>Sex, gender, gender identity</w:t>
            </w:r>
          </w:p>
        </w:tc>
        <w:tc>
          <w:tcPr>
            <w:tcW w:type="dxa" w:w="4320"/>
          </w:tcPr>
          <w:p>
            <w:r>
              <w:t>Title VII, as amended</w:t>
            </w:r>
          </w:p>
        </w:tc>
      </w:tr>
      <w:tr>
        <w:tc>
          <w:tcPr>
            <w:tcW w:type="dxa" w:w="4320"/>
          </w:tcPr>
          <w:p>
            <w:r>
              <w:t>Sexual orientation</w:t>
            </w:r>
          </w:p>
        </w:tc>
        <w:tc>
          <w:tcPr>
            <w:tcW w:type="dxa" w:w="4320"/>
          </w:tcPr>
          <w:p>
            <w:r>
              <w:t>Title VII (Bostock v. Clayton County)</w:t>
            </w:r>
          </w:p>
        </w:tc>
      </w:tr>
      <w:tr>
        <w:tc>
          <w:tcPr>
            <w:tcW w:type="dxa" w:w="4320"/>
          </w:tcPr>
          <w:p>
            <w:r>
              <w:t>National origin</w:t>
            </w:r>
          </w:p>
        </w:tc>
        <w:tc>
          <w:tcPr>
            <w:tcW w:type="dxa" w:w="4320"/>
          </w:tcPr>
          <w:p>
            <w:r>
              <w:t>Title VII</w:t>
            </w:r>
          </w:p>
        </w:tc>
      </w:tr>
      <w:tr>
        <w:tc>
          <w:tcPr>
            <w:tcW w:type="dxa" w:w="4320"/>
          </w:tcPr>
          <w:p>
            <w:r>
              <w:t>Religion or creed</w:t>
            </w:r>
          </w:p>
        </w:tc>
        <w:tc>
          <w:tcPr>
            <w:tcW w:type="dxa" w:w="4320"/>
          </w:tcPr>
          <w:p>
            <w:r>
              <w:t>Title VII</w:t>
            </w:r>
          </w:p>
        </w:tc>
      </w:tr>
      <w:tr>
        <w:tc>
          <w:tcPr>
            <w:tcW w:type="dxa" w:w="4320"/>
          </w:tcPr>
          <w:p>
            <w:r>
              <w:t>Age (40 and over)</w:t>
            </w:r>
          </w:p>
        </w:tc>
        <w:tc>
          <w:tcPr>
            <w:tcW w:type="dxa" w:w="4320"/>
          </w:tcPr>
          <w:p>
            <w:r>
              <w:t>Age Discrimination in Employment Act (ADEA)</w:t>
            </w:r>
          </w:p>
        </w:tc>
      </w:tr>
      <w:tr>
        <w:tc>
          <w:tcPr>
            <w:tcW w:type="dxa" w:w="4320"/>
          </w:tcPr>
          <w:p>
            <w:r>
              <w:t>Disability (physical or mental)</w:t>
            </w:r>
          </w:p>
        </w:tc>
        <w:tc>
          <w:tcPr>
            <w:tcW w:type="dxa" w:w="4320"/>
          </w:tcPr>
          <w:p>
            <w:r>
              <w:t>Americans with Disabilities Act (ADA)</w:t>
            </w:r>
          </w:p>
        </w:tc>
      </w:tr>
      <w:tr>
        <w:tc>
          <w:tcPr>
            <w:tcW w:type="dxa" w:w="4320"/>
          </w:tcPr>
          <w:p>
            <w:r>
              <w:t>Genetic information</w:t>
            </w:r>
          </w:p>
        </w:tc>
        <w:tc>
          <w:tcPr>
            <w:tcW w:type="dxa" w:w="4320"/>
          </w:tcPr>
          <w:p>
            <w:r>
              <w:t>Genetic Information Nondiscrimination Act (GINA)</w:t>
            </w:r>
          </w:p>
        </w:tc>
      </w:tr>
      <w:tr>
        <w:tc>
          <w:tcPr>
            <w:tcW w:type="dxa" w:w="4320"/>
          </w:tcPr>
          <w:p>
            <w:r>
              <w:t>Pregnancy, childbirth</w:t>
            </w:r>
          </w:p>
        </w:tc>
        <w:tc>
          <w:tcPr>
            <w:tcW w:type="dxa" w:w="4320"/>
          </w:tcPr>
          <w:p>
            <w:r>
              <w:t>Pregnancy Discrimination Act (PDA)</w:t>
            </w:r>
          </w:p>
        </w:tc>
      </w:tr>
      <w:tr>
        <w:tc>
          <w:tcPr>
            <w:tcW w:type="dxa" w:w="4320"/>
          </w:tcPr>
          <w:p>
            <w:r>
              <w:t>Veteran / military status</w:t>
            </w:r>
          </w:p>
        </w:tc>
        <w:tc>
          <w:tcPr>
            <w:tcW w:type="dxa" w:w="4320"/>
          </w:tcPr>
          <w:p>
            <w:r>
              <w:t>USERRA, VEVRAA</w:t>
            </w:r>
          </w:p>
        </w:tc>
      </w:tr>
    </w:tbl>
    <w:p/>
    <w:p>
      <w:pPr>
        <w:pStyle w:val="Heading2"/>
      </w:pPr>
      <w:r>
        <w:t>3. Reasonable Accommodations</w:t>
      </w:r>
    </w:p>
    <w:p>
      <w:pPr>
        <w:pStyle w:val="Heading3"/>
      </w:pPr>
      <w:r>
        <w:t>3.1 Disability Accommodations</w:t>
      </w:r>
    </w:p>
    <w:p>
      <w:r>
        <w:t>The company will provide reasonable accommodations to qualified individuals with disabilities, unless doing so would create an undue hardship. Accommodations may include:</w:t>
      </w:r>
    </w:p>
    <w:p>
      <w:pPr>
        <w:pStyle w:val="ListBullet"/>
      </w:pPr>
      <w:r>
        <w:t>Modified work schedules or duties</w:t>
      </w:r>
    </w:p>
    <w:p>
      <w:pPr>
        <w:pStyle w:val="ListBullet"/>
      </w:pPr>
      <w:r>
        <w:t>Assistive technology or equipment</w:t>
      </w:r>
    </w:p>
    <w:p>
      <w:pPr>
        <w:pStyle w:val="ListBullet"/>
      </w:pPr>
      <w:r>
        <w:t>Accessible facilities</w:t>
      </w:r>
    </w:p>
    <w:p>
      <w:pPr>
        <w:pStyle w:val="ListBullet"/>
      </w:pPr>
      <w:r>
        <w:t>Leave for treatment</w:t>
      </w:r>
    </w:p>
    <w:p>
      <w:pPr>
        <w:pStyle w:val="ListBullet"/>
      </w:pPr>
      <w:r>
        <w:t>Reassignment to vacant positions</w:t>
      </w:r>
    </w:p>
    <w:p>
      <w:pPr>
        <w:pStyle w:val="Heading3"/>
      </w:pPr>
      <w:r>
        <w:t>3.2 Religious Accommodations</w:t>
      </w:r>
    </w:p>
    <w:p>
      <w:r>
        <w:t>The company will reasonably accommodate employees' sincerely held religious beliefs, including schedule modifications, dress code exceptions, and space for prayer or meditation.</w:t>
      </w:r>
    </w:p>
    <w:p>
      <w:pPr>
        <w:pStyle w:val="Heading3"/>
      </w:pPr>
      <w:r>
        <w:t>3.3 Pregnancy Accommodations</w:t>
      </w:r>
    </w:p>
    <w:p>
      <w:r>
        <w:t>In accordance with the Pregnant Workers Fairness Act, the company provides reasonable accommodations for known limitations related to pregnancy, childbirth, or related medical conditions.</w:t>
      </w:r>
    </w:p>
    <w:p>
      <w:pPr>
        <w:pStyle w:val="Heading2"/>
      </w:pPr>
      <w:r>
        <w:t>4. Discrimination Indicators</w:t>
      </w:r>
    </w:p>
    <w:p>
      <w:pPr>
        <w:pStyle w:val="ListBullet"/>
      </w:pPr>
      <w:r>
        <w:rPr>
          <w:b/>
        </w:rPr>
        <w:t xml:space="preserve">Disparate treatment: </w:t>
      </w:r>
      <w:r>
        <w:t>Treating employees differently based on a protected characteristic</w:t>
      </w:r>
    </w:p>
    <w:p>
      <w:pPr>
        <w:pStyle w:val="ListBullet"/>
      </w:pPr>
      <w:r>
        <w:rPr>
          <w:b/>
        </w:rPr>
        <w:t xml:space="preserve">Disparate impact: </w:t>
      </w:r>
      <w:r>
        <w:t>Neutral policies that disproportionately affect a protected group without business justification</w:t>
      </w:r>
    </w:p>
    <w:p>
      <w:pPr>
        <w:pStyle w:val="ListBullet"/>
      </w:pPr>
      <w:r>
        <w:rPr>
          <w:b/>
        </w:rPr>
        <w:t xml:space="preserve">Stereotyping: </w:t>
      </w:r>
      <w:r>
        <w:t>Making assumptions about abilities or behavior based on group membership</w:t>
      </w:r>
    </w:p>
    <w:p>
      <w:pPr>
        <w:pStyle w:val="ListBullet"/>
      </w:pPr>
      <w:r>
        <w:rPr>
          <w:b/>
        </w:rPr>
        <w:t xml:space="preserve">Exclusion: </w:t>
      </w:r>
      <w:r>
        <w:t>Systematically leaving individuals out of meetings, projects, or events based on protected characteristics</w:t>
      </w:r>
    </w:p>
    <w:p>
      <w:pPr>
        <w:pStyle w:val="ListBullet"/>
      </w:pPr>
      <w:r>
        <w:rPr>
          <w:b/>
        </w:rPr>
        <w:t xml:space="preserve">Retaliation: </w:t>
      </w:r>
      <w:r>
        <w:t>Punishing employees who report discrimination or participate in investigations</w:t>
      </w:r>
    </w:p>
    <w:p>
      <w:pPr>
        <w:pStyle w:val="Heading2"/>
      </w:pPr>
      <w:r>
        <w:t>5. Age Discrimination</w:t>
      </w:r>
    </w:p>
    <w:p>
      <w:r>
        <w:t>The company prohibits the following age-related discriminatory practices:</w:t>
      </w:r>
    </w:p>
    <w:p>
      <w:pPr>
        <w:pStyle w:val="ListBullet"/>
      </w:pPr>
      <w:r>
        <w:t>Using age as a factor in hiring, promotion, or termination decisions</w:t>
      </w:r>
    </w:p>
    <w:p>
      <w:pPr>
        <w:pStyle w:val="ListBullet"/>
      </w:pPr>
      <w:r>
        <w:t>Mandatory retirement based on age (except as permitted by law)</w:t>
      </w:r>
    </w:p>
    <w:p>
      <w:pPr>
        <w:pStyle w:val="ListBullet"/>
      </w:pPr>
      <w:r>
        <w:t>Age-related harassment including jokes, comments, or ridicule</w:t>
      </w:r>
    </w:p>
    <w:p>
      <w:pPr>
        <w:pStyle w:val="ListBullet"/>
      </w:pPr>
      <w:r>
        <w:t>Job advertisements that specify age preferences (e.g., 'young and energetic')</w:t>
      </w:r>
    </w:p>
    <w:p>
      <w:pPr>
        <w:pStyle w:val="ListBullet"/>
      </w:pPr>
      <w:r>
        <w:t>Pressuring older employees to retire or accept early retirement</w:t>
      </w:r>
    </w:p>
    <w:p>
      <w:pPr>
        <w:pStyle w:val="ListBullet"/>
      </w:pPr>
      <w:r>
        <w:t>Excluding older employees from training or advancement opportunities</w:t>
      </w:r>
    </w:p>
    <w:p>
      <w:pPr>
        <w:pStyle w:val="ListBullet"/>
      </w:pPr>
      <w:r>
        <w:t>Using age as a factor in reduction-in-force decisions</w:t>
      </w:r>
    </w:p>
    <w:p>
      <w:pPr>
        <w:pStyle w:val="Heading2"/>
      </w:pPr>
      <w:r>
        <w:t>6. Reporting Discrimination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Contact</w:t>
            </w:r>
          </w:p>
        </w:tc>
      </w:tr>
      <w:tr>
        <w:tc>
          <w:tcPr>
            <w:tcW w:type="dxa" w:w="4320"/>
          </w:tcPr>
          <w:p>
            <w:r>
              <w:t>HR Business Partner</w:t>
            </w:r>
          </w:p>
        </w:tc>
        <w:tc>
          <w:tcPr>
            <w:tcW w:type="dxa" w:w="4320"/>
          </w:tcPr>
          <w:p>
            <w:r>
              <w:t>For guidance and informal resolution</w:t>
            </w:r>
          </w:p>
        </w:tc>
      </w:tr>
      <w:tr>
        <w:tc>
          <w:tcPr>
            <w:tcW w:type="dxa" w:w="4320"/>
          </w:tcPr>
          <w:p>
            <w:r>
              <w:t>Employee Relations</w:t>
            </w:r>
          </w:p>
        </w:tc>
        <w:tc>
          <w:tcPr>
            <w:tcW w:type="dxa" w:w="4320"/>
          </w:tcPr>
          <w:p>
            <w:r>
              <w:t>er@company.com / ext. 5500</w:t>
            </w:r>
          </w:p>
        </w:tc>
      </w:tr>
      <w:tr>
        <w:tc>
          <w:tcPr>
            <w:tcW w:type="dxa" w:w="4320"/>
          </w:tcPr>
          <w:p>
            <w:r>
              <w:t>Ethics Hotline</w:t>
            </w:r>
          </w:p>
        </w:tc>
        <w:tc>
          <w:tcPr>
            <w:tcW w:type="dxa" w:w="4320"/>
          </w:tcPr>
          <w:p>
            <w:r>
              <w:t>1-800-ETHICS-1 (anonymous)</w:t>
            </w:r>
          </w:p>
        </w:tc>
      </w:tr>
      <w:tr>
        <w:tc>
          <w:tcPr>
            <w:tcW w:type="dxa" w:w="4320"/>
          </w:tcPr>
          <w:p>
            <w:r>
              <w:t>HR Concierge</w:t>
            </w:r>
          </w:p>
        </w:tc>
        <w:tc>
          <w:tcPr>
            <w:tcW w:type="dxa" w:w="4320"/>
          </w:tcPr>
          <w:p>
            <w:r>
              <w:t>Online portal</w:t>
            </w:r>
          </w:p>
        </w:tc>
      </w:tr>
      <w:tr>
        <w:tc>
          <w:tcPr>
            <w:tcW w:type="dxa" w:w="4320"/>
          </w:tcPr>
          <w:p>
            <w:r>
              <w:t>EEOC</w:t>
            </w:r>
          </w:p>
        </w:tc>
        <w:tc>
          <w:tcPr>
            <w:tcW w:type="dxa" w:w="4320"/>
          </w:tcPr>
          <w:p>
            <w:r>
              <w:t>External — eeoc.gov</w:t>
            </w:r>
          </w:p>
        </w:tc>
      </w:tr>
    </w:tbl>
    <w:p/>
    <w:p>
      <w:pPr>
        <w:pStyle w:val="Heading2"/>
      </w:pPr>
      <w:r>
        <w:t>7. Manager Responsibilities</w:t>
      </w:r>
    </w:p>
    <w:p>
      <w:pPr>
        <w:pStyle w:val="ListBullet"/>
      </w:pPr>
      <w:r>
        <w:t>Model inclusive behavior and language</w:t>
      </w:r>
    </w:p>
    <w:p>
      <w:pPr>
        <w:pStyle w:val="ListBullet"/>
      </w:pPr>
      <w:r>
        <w:t>Make employment decisions based solely on legitimate business factors</w:t>
      </w:r>
    </w:p>
    <w:p>
      <w:pPr>
        <w:pStyle w:val="ListBullet"/>
      </w:pPr>
      <w:r>
        <w:t>Address discriminatory behavior immediately</w:t>
      </w:r>
    </w:p>
    <w:p>
      <w:pPr>
        <w:pStyle w:val="ListBullet"/>
      </w:pPr>
      <w:r>
        <w:t>Participate in required anti-discrimination training</w:t>
      </w:r>
    </w:p>
    <w:p>
      <w:pPr>
        <w:pStyle w:val="ListBullet"/>
      </w:pPr>
      <w:r>
        <w:t>Document employment decisions with clear, objective justification</w:t>
      </w:r>
    </w:p>
    <w:p>
      <w:pPr>
        <w:pStyle w:val="ListBullet"/>
      </w:pPr>
      <w:r>
        <w:t>Consult HR before making adverse employment decisions</w:t>
      </w:r>
    </w:p>
    <w:p/>
    <w:p>
      <w:r>
        <w:t>For questions, contact Employee Relations at er@company.com or the Legal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