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GRV-001: Formal Grievance Policy</w:t>
      </w:r>
    </w:p>
    <w:tbl>
      <w:tblPr>
        <w:tblStyle w:val="LightGrid-Accent1"/>
        <w:tblW w:type="auto" w:w="0"/>
        <w:jc w:val="left"/>
        <w:tblLook w:firstColumn="1" w:firstRow="1" w:lastColumn="0" w:lastRow="0" w:noHBand="0" w:noVBand="1" w:val="04A0"/>
      </w:tblPr>
      <w:tblGrid>
        <w:gridCol w:w="4320"/>
        <w:gridCol w:w="4320"/>
      </w:tblGrid>
      <w:tr>
        <w:tc>
          <w:tcPr>
            <w:tcW w:type="dxa" w:w="4320"/>
          </w:tcPr>
          <w:p>
            <w:r>
              <w:t>Policy ID</w:t>
            </w:r>
          </w:p>
        </w:tc>
        <w:tc>
          <w:tcPr>
            <w:tcW w:type="dxa" w:w="4320"/>
          </w:tcPr>
          <w:p>
            <w:r>
              <w:t>GRV-001</w:t>
            </w:r>
          </w:p>
        </w:tc>
      </w:tr>
      <w:tr>
        <w:tc>
          <w:tcPr>
            <w:tcW w:type="dxa" w:w="4320"/>
          </w:tcPr>
          <w:p>
            <w:r>
              <w:t>Effective Date</w:t>
            </w:r>
          </w:p>
        </w:tc>
        <w:tc>
          <w:tcPr>
            <w:tcW w:type="dxa" w:w="4320"/>
          </w:tcPr>
          <w:p>
            <w:r>
              <w:t>January 1, 2025</w:t>
            </w:r>
          </w:p>
        </w:tc>
      </w:tr>
      <w:tr>
        <w:tc>
          <w:tcPr>
            <w:tcW w:type="dxa" w:w="4320"/>
          </w:tcPr>
          <w:p>
            <w:r>
              <w:t>Last Reviewed</w:t>
            </w:r>
          </w:p>
        </w:tc>
        <w:tc>
          <w:tcPr>
            <w:tcW w:type="dxa" w:w="4320"/>
          </w:tcPr>
          <w:p>
            <w:r>
              <w:t>January 15, 2026</w:t>
            </w:r>
          </w:p>
        </w:tc>
      </w:tr>
      <w:tr>
        <w:tc>
          <w:tcPr>
            <w:tcW w:type="dxa" w:w="4320"/>
          </w:tcPr>
          <w:p>
            <w:r>
              <w:t>Owner</w:t>
            </w:r>
          </w:p>
        </w:tc>
        <w:tc>
          <w:tcPr>
            <w:tcW w:type="dxa" w:w="4320"/>
          </w:tcPr>
          <w:p>
            <w:r>
              <w:t>Chief Human Resources Officer</w:t>
            </w:r>
          </w:p>
        </w:tc>
      </w:tr>
      <w:tr>
        <w:tc>
          <w:tcPr>
            <w:tcW w:type="dxa" w:w="4320"/>
          </w:tcPr>
          <w:p>
            <w:r>
              <w:t>Applies To</w:t>
            </w:r>
          </w:p>
        </w:tc>
        <w:tc>
          <w:tcPr>
            <w:tcW w:type="dxa" w:w="4320"/>
          </w:tcPr>
          <w:p>
            <w:r>
              <w:t>All employees (full-time, part-time, and temporary)</w:t>
            </w:r>
          </w:p>
        </w:tc>
      </w:tr>
      <w:tr>
        <w:tc>
          <w:tcPr>
            <w:tcW w:type="dxa" w:w="4320"/>
          </w:tcPr>
          <w:p>
            <w:r>
              <w:t>Classification</w:t>
            </w:r>
          </w:p>
        </w:tc>
        <w:tc>
          <w:tcPr>
            <w:tcW w:type="dxa" w:w="4320"/>
          </w:tcPr>
          <w:p>
            <w:r>
              <w:t>Internal – Employee Confidential</w:t>
            </w:r>
          </w:p>
        </w:tc>
      </w:tr>
    </w:tbl>
    <w:p/>
    <w:p>
      <w:pPr>
        <w:pStyle w:val="Heading2"/>
      </w:pPr>
      <w:r>
        <w:t>1. Purpose</w:t>
      </w:r>
    </w:p>
    <w:p>
      <w:r>
        <w:t>This policy establishes a formal process for employees to raise serious workplace concerns that cannot be resolved through informal channels. The grievance process ensures that employee complaints are handled fairly, consistently, and in a timely manner while protecting the rights of all parties involved.</w:t>
      </w:r>
    </w:p>
    <w:p>
      <w:pPr>
        <w:pStyle w:val="Heading2"/>
      </w:pPr>
      <w:r>
        <w:t>2. Scope</w:t>
      </w:r>
    </w:p>
    <w:p>
      <w:pPr>
        <w:pStyle w:val="Heading3"/>
      </w:pPr>
      <w:r>
        <w:t>2.1 What Constitutes a Formal Grievance</w:t>
      </w:r>
    </w:p>
    <w:p>
      <w:r>
        <w:t>A formal grievance is a written complaint regarding a serious workplace issue that falls into one or more of the following categories:</w:t>
      </w:r>
    </w:p>
    <w:p>
      <w:pPr>
        <w:pStyle w:val="ListBullet"/>
      </w:pPr>
      <w:r>
        <w:rPr>
          <w:b/>
        </w:rPr>
        <w:t xml:space="preserve">Discrimination: </w:t>
      </w:r>
      <w:r>
        <w:t>Adverse treatment based on race, color, religion, sex (including pregnancy, sexual orientation, and gender identity), national origin, age (40+), disability, genetic information, veteran status, or any other characteristic protected by applicable law.</w:t>
      </w:r>
    </w:p>
    <w:p>
      <w:pPr>
        <w:pStyle w:val="ListBullet"/>
      </w:pPr>
      <w:r>
        <w:rPr>
          <w:b/>
        </w:rPr>
        <w:t xml:space="preserve">Harassment: </w:t>
      </w:r>
      <w:r>
        <w:t>Unwelcome conduct based on a protected characteristic that creates a hostile, intimidating, or offensive work environment, or when submission to such conduct is made a condition of employment.</w:t>
      </w:r>
    </w:p>
    <w:p>
      <w:pPr>
        <w:pStyle w:val="ListBullet"/>
      </w:pPr>
      <w:r>
        <w:rPr>
          <w:b/>
        </w:rPr>
        <w:t xml:space="preserve">Sexual Harassment: </w:t>
      </w:r>
      <w:r>
        <w:t>Unwelcome sexual advances, requests for sexual favors, or other verbal or physical conduct of a sexual nature that affects employment decisions or creates a hostile environment.</w:t>
      </w:r>
    </w:p>
    <w:p>
      <w:pPr>
        <w:pStyle w:val="ListBullet"/>
      </w:pPr>
      <w:r>
        <w:rPr>
          <w:b/>
        </w:rPr>
        <w:t xml:space="preserve">Retaliation: </w:t>
      </w:r>
      <w:r>
        <w:t>Adverse action taken against an employee for reporting concerns, participating in an investigation, or exercising rights under company policy or law.</w:t>
      </w:r>
    </w:p>
    <w:p>
      <w:pPr>
        <w:pStyle w:val="ListBullet"/>
      </w:pPr>
      <w:r>
        <w:rPr>
          <w:b/>
        </w:rPr>
        <w:t xml:space="preserve">Bullying: </w:t>
      </w:r>
      <w:r>
        <w:t>Repeated, unreasonable behavior directed toward an employee that creates a risk to health, safety, or well-being. This includes verbal abuse, intimidation, humiliation, or sabotage that interferes with work.</w:t>
      </w:r>
    </w:p>
    <w:p>
      <w:pPr>
        <w:pStyle w:val="ListBullet"/>
      </w:pPr>
      <w:r>
        <w:rPr>
          <w:b/>
        </w:rPr>
        <w:t xml:space="preserve">Hostile Work Environment: </w:t>
      </w:r>
      <w:r>
        <w:t>Pervasive conduct based on protected characteristics that is severe enough to create an intimidating, hostile, or abusive working environment.</w:t>
      </w:r>
    </w:p>
    <w:p>
      <w:pPr>
        <w:pStyle w:val="ListBullet"/>
      </w:pPr>
      <w:r>
        <w:rPr>
          <w:b/>
        </w:rPr>
        <w:t xml:space="preserve">Significant Policy Violations: </w:t>
      </w:r>
      <w:r>
        <w:t>Material breaches of company policy that affect employee rights, safety, or working conditions.</w:t>
      </w:r>
    </w:p>
    <w:p>
      <w:pPr>
        <w:pStyle w:val="ListBullet"/>
      </w:pPr>
      <w:r>
        <w:rPr>
          <w:b/>
        </w:rPr>
        <w:t xml:space="preserve">Wage and Hour Violations: </w:t>
      </w:r>
      <w:r>
        <w:t>Disputes regarding compensation, overtime pay, or benefits entitlements.</w:t>
      </w:r>
    </w:p>
    <w:p>
      <w:pPr>
        <w:pStyle w:val="ListBullet"/>
      </w:pPr>
      <w:r>
        <w:rPr>
          <w:b/>
        </w:rPr>
        <w:t xml:space="preserve">Unsafe Working Conditions: </w:t>
      </w:r>
      <w:r>
        <w:t>Concerns about workplace safety that have not been addressed through normal safety reporting channels.</w:t>
      </w:r>
    </w:p>
    <w:p>
      <w:pPr>
        <w:pStyle w:val="Heading3"/>
      </w:pPr>
      <w:r>
        <w:t>2.2 What Does NOT Constitute a Formal Grievance</w:t>
      </w:r>
    </w:p>
    <w:p>
      <w:r>
        <w:t>The following types of concerns should be addressed through alternative channels (see Section 8):</w:t>
      </w:r>
    </w:p>
    <w:p>
      <w:pPr>
        <w:pStyle w:val="ListBullet"/>
      </w:pPr>
      <w:r>
        <w:t>Minor interpersonal disagreements – One-time conflicts between colleagues without discriminatory or harassing elements.</w:t>
      </w:r>
    </w:p>
    <w:p>
      <w:pPr>
        <w:pStyle w:val="ListBullet"/>
      </w:pPr>
      <w:r>
        <w:t>Management style preferences – Disagreements with a manager's approach that do not involve discrimination, harassment, or policy violations.</w:t>
      </w:r>
    </w:p>
    <w:p>
      <w:pPr>
        <w:pStyle w:val="ListBullet"/>
      </w:pPr>
      <w:r>
        <w:t>Day-to-day workplace annoyances – Issues such as noise levels, temperature preferences, kitchen cleanliness, parking disputes, or personal space concerns.</w:t>
      </w:r>
    </w:p>
    <w:p>
      <w:pPr>
        <w:pStyle w:val="ListBullet"/>
      </w:pPr>
      <w:r>
        <w:t>Performance feedback disagreements – Disputes about performance ratings should be addressed through the Performance Review Appeals process (PER-003).</w:t>
      </w:r>
    </w:p>
    <w:p>
      <w:pPr>
        <w:pStyle w:val="ListBullet"/>
      </w:pPr>
      <w:r>
        <w:t>Compensation disputes – General pay dissatisfaction should be directed to the Total Rewards team unless the concern involves discriminatory pay practices.</w:t>
      </w:r>
    </w:p>
    <w:p>
      <w:pPr>
        <w:pStyle w:val="ListBullet"/>
      </w:pPr>
      <w:r>
        <w:t>Scheduling preferences – Work schedule requests should be handled through the Flexible Work Arrangements policy (WRK-005).</w:t>
      </w:r>
    </w:p>
    <w:p>
      <w:pPr>
        <w:pStyle w:val="ListBullet"/>
      </w:pPr>
      <w:r>
        <w:t>Facilities complaints – Issues with office equipment, workspace conditions, or building maintenance should be reported to Facilities Management.</w:t>
      </w:r>
    </w:p>
    <w:p>
      <w:pPr>
        <w:pStyle w:val="Heading2"/>
      </w:pPr>
      <w:r>
        <w:t>3. Confidentiality</w:t>
      </w:r>
    </w:p>
    <w:p>
      <w:r>
        <w:t>All grievances are handled under strict confidentiality:</w:t>
      </w:r>
    </w:p>
    <w:p>
      <w:pPr>
        <w:pStyle w:val="ListBullet"/>
      </w:pPr>
      <w:r>
        <w:t>Information is shared only with individuals who have a legitimate need to know in order to investigate and resolve the matter.</w:t>
      </w:r>
    </w:p>
    <w:p>
      <w:pPr>
        <w:pStyle w:val="ListBullet"/>
      </w:pPr>
      <w:r>
        <w:t>All investigation files are maintained separately from personnel files.</w:t>
      </w:r>
    </w:p>
    <w:p>
      <w:pPr>
        <w:pStyle w:val="ListBullet"/>
      </w:pPr>
      <w:r>
        <w:t>Electronic records are stored in access-restricted systems with audit logging.</w:t>
      </w:r>
    </w:p>
    <w:p>
      <w:pPr>
        <w:pStyle w:val="ListBullet"/>
      </w:pPr>
      <w:r>
        <w:t>Breach of grievance confidentiality by any party may result in disciplinary action.</w:t>
      </w:r>
    </w:p>
    <w:p>
      <w:pPr>
        <w:pStyle w:val="ListBullet"/>
      </w:pPr>
      <w:r>
        <w:t>Employees may request anonymity, though this may limit the organization's ability to fully investigate.</w:t>
      </w:r>
    </w:p>
    <w:p>
      <w:pPr>
        <w:pStyle w:val="Heading2"/>
      </w:pPr>
      <w:r>
        <w:t>4. Grievance Process</w:t>
      </w:r>
    </w:p>
    <w:p>
      <w:pPr>
        <w:pStyle w:val="Heading3"/>
      </w:pPr>
      <w:r>
        <w:t>Step 1: Intake and Classification (Days 1-2)</w:t>
      </w:r>
    </w:p>
    <w:p>
      <w:pPr>
        <w:pStyle w:val="ListNumber"/>
      </w:pPr>
      <w:r>
        <w:t>Employee submits a grievance through any of the following channels: HR Concierge (online portal), direct submission to Employee Relations, email to grievance@company.com, or in-person meeting with any HR representative.</w:t>
      </w:r>
    </w:p>
    <w:p>
      <w:pPr>
        <w:pStyle w:val="ListNumber"/>
      </w:pPr>
      <w:r>
        <w:t>Employee Relations performs initial classification within 24 hours of receipt.</w:t>
      </w:r>
    </w:p>
    <w:p>
      <w:pPr>
        <w:pStyle w:val="ListNumber"/>
      </w:pPr>
      <w:r>
        <w:t>The grievance is assigned a case number (format: GRV-YYYYMMDD-XXXX) and a primary ER specialist.</w:t>
      </w:r>
    </w:p>
    <w:p>
      <w:pPr>
        <w:pStyle w:val="ListNumber"/>
      </w:pPr>
      <w:r>
        <w:t>Employee receives written acknowledgment within 48 hours confirming receipt and next steps.</w:t>
      </w:r>
    </w:p>
    <w:p>
      <w:pPr>
        <w:pStyle w:val="Heading3"/>
      </w:pPr>
      <w:r>
        <w:t>Step 2: Investigation (Days 3-15)</w:t>
      </w:r>
    </w:p>
    <w:p>
      <w:pPr>
        <w:pStyle w:val="ListNumber"/>
      </w:pPr>
      <w:r>
        <w:t>The assigned ER specialist conducts a thorough, impartial investigation including: detailed interview with the complainant, interview with the respondent (accused party), interviews with relevant witnesses, review of documentary evidence (emails, messages, records), and review of applicable policies and precedents.</w:t>
      </w:r>
    </w:p>
    <w:p>
      <w:pPr>
        <w:pStyle w:val="ListNumber"/>
      </w:pPr>
      <w:r>
        <w:t>All parties have the right to be accompanied by a colleague (not acting as legal counsel) during interviews.</w:t>
      </w:r>
    </w:p>
    <w:p>
      <w:pPr>
        <w:pStyle w:val="ListNumber"/>
      </w:pPr>
      <w:r>
        <w:t>Investigation notes are documented in the case management system.</w:t>
      </w:r>
    </w:p>
    <w:p>
      <w:pPr>
        <w:pStyle w:val="ListNumber"/>
      </w:pPr>
      <w:r>
        <w:t>The target completion for investigations is 10 business days, though complex cases may require extensions.</w:t>
      </w:r>
    </w:p>
    <w:p>
      <w:pPr>
        <w:pStyle w:val="Heading3"/>
      </w:pPr>
      <w:r>
        <w:t>Step 3: Resolution and Outcome (Days 16-20)</w:t>
      </w:r>
    </w:p>
    <w:p>
      <w:r>
        <w:t>The ER specialist prepares a written findings report. The report is reviewed by the Employee Relations Manager and, for high-severity cases, by Legal. Appropriate remedial actions are determined, which may include:</w:t>
      </w:r>
    </w:p>
    <w:p>
      <w:pPr>
        <w:pStyle w:val="ListBullet"/>
      </w:pPr>
      <w:r>
        <w:t>Mediation between parties</w:t>
      </w:r>
    </w:p>
    <w:p>
      <w:pPr>
        <w:pStyle w:val="ListBullet"/>
      </w:pPr>
      <w:r>
        <w:t>Coaching or training for the respondent</w:t>
      </w:r>
    </w:p>
    <w:p>
      <w:pPr>
        <w:pStyle w:val="ListBullet"/>
      </w:pPr>
      <w:r>
        <w:t>Formal warning or disciplinary action</w:t>
      </w:r>
    </w:p>
    <w:p>
      <w:pPr>
        <w:pStyle w:val="ListBullet"/>
      </w:pPr>
      <w:r>
        <w:t>Policy or process changes</w:t>
      </w:r>
    </w:p>
    <w:p>
      <w:pPr>
        <w:pStyle w:val="ListBullet"/>
      </w:pPr>
      <w:r>
        <w:t>Transfer or reassignment (with employee consent)</w:t>
      </w:r>
    </w:p>
    <w:p>
      <w:pPr>
        <w:pStyle w:val="ListBullet"/>
      </w:pPr>
      <w:r>
        <w:t>Termination of the respondent (in severe cases)</w:t>
      </w:r>
    </w:p>
    <w:p>
      <w:r>
        <w:t>The complainant is informed of the outcome and any actions taken (to the extent permitted by confidentiality obligations to other parties).</w:t>
      </w:r>
    </w:p>
    <w:p>
      <w:pPr>
        <w:pStyle w:val="Heading3"/>
      </w:pPr>
      <w:r>
        <w:t>Step 4: Follow-Up (Days 21-30)</w:t>
      </w:r>
    </w:p>
    <w:p>
      <w:r>
        <w:t>ER specialist checks in with the complainant to ensure the resolution is effective. If the complainant is dissatisfied with the outcome, they may escalate to the Appeals process (see Section 6). The case file is closed and retained per the Records Retention policy (minimum 7 years).</w:t>
      </w:r>
    </w:p>
    <w:p>
      <w:pPr>
        <w:pStyle w:val="Heading2"/>
      </w:pPr>
      <w:r>
        <w:t>5. Non-Retaliation Protection</w:t>
      </w:r>
    </w:p>
    <w:p>
      <w:r>
        <w:t>The company strictly prohibits retaliation against any employee who:</w:t>
      </w:r>
    </w:p>
    <w:p>
      <w:pPr>
        <w:pStyle w:val="ListBullet"/>
      </w:pPr>
      <w:r>
        <w:t>Files a grievance in good faith</w:t>
      </w:r>
    </w:p>
    <w:p>
      <w:pPr>
        <w:pStyle w:val="ListBullet"/>
      </w:pPr>
      <w:r>
        <w:t>Participates in a grievance investigation as a witness</w:t>
      </w:r>
    </w:p>
    <w:p>
      <w:pPr>
        <w:pStyle w:val="ListBullet"/>
      </w:pPr>
      <w:r>
        <w:t>Provides information related to a grievance</w:t>
      </w:r>
    </w:p>
    <w:p>
      <w:pPr>
        <w:pStyle w:val="ListBullet"/>
      </w:pPr>
      <w:r>
        <w:t>Opposes practices they reasonably believe to be unlawful</w:t>
      </w:r>
    </w:p>
    <w:p>
      <w:r>
        <w:rPr>
          <w:b/>
        </w:rPr>
        <w:t>Any employee found to have retaliated against a grievant or witness will be subject to disciplinary action up to and including termination.</w:t>
      </w:r>
    </w:p>
    <w:p>
      <w:pPr>
        <w:pStyle w:val="Heading2"/>
      </w:pPr>
      <w:r>
        <w:t>6. Appeals Process</w:t>
      </w:r>
    </w:p>
    <w:p>
      <w:r>
        <w:t>Level 1 Appeal: Submit a written appeal to the Director of Employee Relations within 10 business days of receiving the outcome. The appeal will be reviewed by a different ER specialist.</w:t>
      </w:r>
    </w:p>
    <w:p>
      <w:r>
        <w:t>Level 2 Appeal: If still dissatisfied, submit a final appeal to the VP of Human Resources within 10 business days. This decision is final.</w:t>
      </w:r>
    </w:p>
    <w:p>
      <w:pPr>
        <w:pStyle w:val="Heading2"/>
      </w:pPr>
      <w:r>
        <w:t>7. Service Level Agreements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Target Timeline</w:t>
            </w:r>
          </w:p>
        </w:tc>
      </w:tr>
      <w:tr>
        <w:tc>
          <w:tcPr>
            <w:tcW w:type="dxa" w:w="4320"/>
          </w:tcPr>
          <w:p>
            <w:r>
              <w:t>Acknowledgment of receipt</w:t>
            </w:r>
          </w:p>
        </w:tc>
        <w:tc>
          <w:tcPr>
            <w:tcW w:type="dxa" w:w="4320"/>
          </w:tcPr>
          <w:p>
            <w:r>
              <w:t>48 hours</w:t>
            </w:r>
          </w:p>
        </w:tc>
      </w:tr>
      <w:tr>
        <w:tc>
          <w:tcPr>
            <w:tcW w:type="dxa" w:w="4320"/>
          </w:tcPr>
          <w:p>
            <w:r>
              <w:t>Initial classification</w:t>
            </w:r>
          </w:p>
        </w:tc>
        <w:tc>
          <w:tcPr>
            <w:tcW w:type="dxa" w:w="4320"/>
          </w:tcPr>
          <w:p>
            <w:r>
              <w:t>24 hours</w:t>
            </w:r>
          </w:p>
        </w:tc>
      </w:tr>
      <w:tr>
        <w:tc>
          <w:tcPr>
            <w:tcW w:type="dxa" w:w="4320"/>
          </w:tcPr>
          <w:p>
            <w:r>
              <w:t>Investigation commencement</w:t>
            </w:r>
          </w:p>
        </w:tc>
        <w:tc>
          <w:tcPr>
            <w:tcW w:type="dxa" w:w="4320"/>
          </w:tcPr>
          <w:p>
            <w:r>
              <w:t>3 business days</w:t>
            </w:r>
          </w:p>
        </w:tc>
      </w:tr>
      <w:tr>
        <w:tc>
          <w:tcPr>
            <w:tcW w:type="dxa" w:w="4320"/>
          </w:tcPr>
          <w:p>
            <w:r>
              <w:t>Investigation completion</w:t>
            </w:r>
          </w:p>
        </w:tc>
        <w:tc>
          <w:tcPr>
            <w:tcW w:type="dxa" w:w="4320"/>
          </w:tcPr>
          <w:p>
            <w:r>
              <w:t>10 business days</w:t>
            </w:r>
          </w:p>
        </w:tc>
      </w:tr>
      <w:tr>
        <w:tc>
          <w:tcPr>
            <w:tcW w:type="dxa" w:w="4320"/>
          </w:tcPr>
          <w:p>
            <w:r>
              <w:t>Findings report</w:t>
            </w:r>
          </w:p>
        </w:tc>
        <w:tc>
          <w:tcPr>
            <w:tcW w:type="dxa" w:w="4320"/>
          </w:tcPr>
          <w:p>
            <w:r>
              <w:t>15 business days</w:t>
            </w:r>
          </w:p>
        </w:tc>
      </w:tr>
      <w:tr>
        <w:tc>
          <w:tcPr>
            <w:tcW w:type="dxa" w:w="4320"/>
          </w:tcPr>
          <w:p>
            <w:r>
              <w:t>Resolution communication</w:t>
            </w:r>
          </w:p>
        </w:tc>
        <w:tc>
          <w:tcPr>
            <w:tcW w:type="dxa" w:w="4320"/>
          </w:tcPr>
          <w:p>
            <w:r>
              <w:t>20 business days</w:t>
            </w:r>
          </w:p>
        </w:tc>
      </w:tr>
      <w:tr>
        <w:tc>
          <w:tcPr>
            <w:tcW w:type="dxa" w:w="4320"/>
          </w:tcPr>
          <w:p>
            <w:r>
              <w:t>Follow-up check-in</w:t>
            </w:r>
          </w:p>
        </w:tc>
        <w:tc>
          <w:tcPr>
            <w:tcW w:type="dxa" w:w="4320"/>
          </w:tcPr>
          <w:p>
            <w:r>
              <w:t>30 business days</w:t>
            </w:r>
          </w:p>
        </w:tc>
      </w:tr>
    </w:tbl>
    <w:p/>
    <w:p>
      <w:pPr>
        <w:pStyle w:val="Heading2"/>
      </w:pPr>
      <w:r>
        <w:t>8. Alternative Resolution Channels</w:t>
      </w:r>
    </w:p>
    <w:p>
      <w:r>
        <w:t>For concerns that do not meet the threshold for a formal grievance, the following resources are available:</w:t>
      </w:r>
    </w:p>
    <w:p>
      <w:pPr>
        <w:pStyle w:val="ListBullet"/>
      </w:pPr>
      <w:r>
        <w:t>Manager Mediation: Speak with your direct manager or skip-level manager about interpersonal issues.</w:t>
      </w:r>
    </w:p>
    <w:p>
      <w:pPr>
        <w:pStyle w:val="ListBullet"/>
      </w:pPr>
      <w:r>
        <w:t>Peer Mediation Program: Trained peer mediators can facilitate conversations between colleagues.</w:t>
      </w:r>
    </w:p>
    <w:p>
      <w:pPr>
        <w:pStyle w:val="ListBullet"/>
      </w:pPr>
      <w:r>
        <w:t>Employee Assistance Program (EAP): Confidential counseling and support services available 24/7 at 1-800-EAP-HELP.</w:t>
      </w:r>
    </w:p>
    <w:p>
      <w:pPr>
        <w:pStyle w:val="ListBullet"/>
      </w:pPr>
      <w:r>
        <w:t>HR Business Partner: Your designated HRBP can provide guidance and informal support.</w:t>
      </w:r>
    </w:p>
    <w:p>
      <w:pPr>
        <w:pStyle w:val="ListBullet"/>
      </w:pPr>
      <w:r>
        <w:t>Open Door Policy: Any employee may raise concerns with any level of management.</w:t>
      </w:r>
    </w:p>
    <w:p>
      <w:pPr>
        <w:pStyle w:val="ListBullet"/>
      </w:pPr>
      <w:r>
        <w:t>Ethics Hotline: Anonymous reporting available at 1-800-ETHICS-1 or ethics.company.com.</w:t>
      </w:r>
    </w:p>
    <w:p>
      <w:pPr>
        <w:pStyle w:val="Heading2"/>
      </w:pPr>
      <w:r>
        <w:t>9. Record Keeping</w:t>
      </w:r>
    </w:p>
    <w:p>
      <w:r>
        <w:t>All grievance records are retained for a minimum of 7 years from the date of case closure. Records include: intake form, investigation notes, interview records, evidence, findings report, and resolution documentation. Access to grievance records is restricted to authorized ER personnel and Legal.</w:t>
      </w:r>
    </w:p>
    <w:p/>
    <w:p>
      <w:r>
        <w:t>For questions about this policy, contact Employee Relations at er@company.com or ext. 5500.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