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RET-001: Retaliation Protection Policy</w:t>
      </w:r>
    </w:p>
    <w:tbl>
      <w:tblPr>
        <w:tblStyle w:val="LightGrid-Accent1"/>
        <w:tblW w:type="auto" w:w="0"/>
        <w:jc w:val="left"/>
        <w:tblLook w:firstColumn="1" w:firstRow="1" w:lastColumn="0" w:lastRow="0" w:noHBand="0" w:noVBand="1" w:val="04A0"/>
      </w:tblPr>
      <w:tblGrid>
        <w:gridCol w:w="4320"/>
        <w:gridCol w:w="4320"/>
      </w:tblGrid>
      <w:tr>
        <w:tc>
          <w:tcPr>
            <w:tcW w:type="dxa" w:w="4320"/>
          </w:tcPr>
          <w:p>
            <w:r>
              <w:t>Policy ID</w:t>
            </w:r>
          </w:p>
        </w:tc>
        <w:tc>
          <w:tcPr>
            <w:tcW w:type="dxa" w:w="4320"/>
          </w:tcPr>
          <w:p>
            <w:r>
              <w:t>RET-001</w:t>
            </w:r>
          </w:p>
        </w:tc>
      </w:tr>
      <w:tr>
        <w:tc>
          <w:tcPr>
            <w:tcW w:type="dxa" w:w="4320"/>
          </w:tcPr>
          <w:p>
            <w:r>
              <w:t>Effective Date</w:t>
            </w:r>
          </w:p>
        </w:tc>
        <w:tc>
          <w:tcPr>
            <w:tcW w:type="dxa" w:w="4320"/>
          </w:tcPr>
          <w:p>
            <w:r>
              <w:t>January 1, 2025</w:t>
            </w:r>
          </w:p>
        </w:tc>
      </w:tr>
      <w:tr>
        <w:tc>
          <w:tcPr>
            <w:tcW w:type="dxa" w:w="4320"/>
          </w:tcPr>
          <w:p>
            <w:r>
              <w:t>Last Reviewed</w:t>
            </w:r>
          </w:p>
        </w:tc>
        <w:tc>
          <w:tcPr>
            <w:tcW w:type="dxa" w:w="4320"/>
          </w:tcPr>
          <w:p>
            <w:r>
              <w:t>January 15, 2026</w:t>
            </w:r>
          </w:p>
        </w:tc>
      </w:tr>
      <w:tr>
        <w:tc>
          <w:tcPr>
            <w:tcW w:type="dxa" w:w="4320"/>
          </w:tcPr>
          <w:p>
            <w:r>
              <w:t>Owner</w:t>
            </w:r>
          </w:p>
        </w:tc>
        <w:tc>
          <w:tcPr>
            <w:tcW w:type="dxa" w:w="4320"/>
          </w:tcPr>
          <w:p>
            <w:r>
              <w:t>Chief Human Resources Officer &amp; General Counsel</w:t>
            </w:r>
          </w:p>
        </w:tc>
      </w:tr>
      <w:tr>
        <w:tc>
          <w:tcPr>
            <w:tcW w:type="dxa" w:w="4320"/>
          </w:tcPr>
          <w:p>
            <w:r>
              <w:t>Applies To</w:t>
            </w:r>
          </w:p>
        </w:tc>
        <w:tc>
          <w:tcPr>
            <w:tcW w:type="dxa" w:w="4320"/>
          </w:tcPr>
          <w:p>
            <w:r>
              <w:t>All employees, managers, and supervisors</w:t>
            </w:r>
          </w:p>
        </w:tc>
      </w:tr>
      <w:tr>
        <w:tc>
          <w:tcPr>
            <w:tcW w:type="dxa" w:w="4320"/>
          </w:tcPr>
          <w:p>
            <w:r>
              <w:t>Classification</w:t>
            </w:r>
          </w:p>
        </w:tc>
        <w:tc>
          <w:tcPr>
            <w:tcW w:type="dxa" w:w="4320"/>
          </w:tcPr>
          <w:p>
            <w:r>
              <w:t>Internal – All Employees</w:t>
            </w:r>
          </w:p>
        </w:tc>
      </w:tr>
    </w:tbl>
    <w:p/>
    <w:p>
      <w:pPr>
        <w:pStyle w:val="Heading2"/>
      </w:pPr>
      <w:r>
        <w:t>1. Policy Statement</w:t>
      </w:r>
    </w:p>
    <w:p>
      <w:r>
        <w:t>The company strictly prohibits retaliation against any employee who, in good faith, reports a violation of company policy, participates in an investigation, files a complaint with an external agency, or exercises any right protected by law.</w:t>
      </w:r>
    </w:p>
    <w:p>
      <w:pPr>
        <w:pStyle w:val="Heading2"/>
      </w:pPr>
      <w:r>
        <w:t>2. Protected Activities</w:t>
      </w:r>
    </w:p>
    <w:p>
      <w:pPr>
        <w:pStyle w:val="ListBullet"/>
      </w:pPr>
      <w:r>
        <w:t>Filing a grievance or complaint under any company policy</w:t>
      </w:r>
    </w:p>
    <w:p>
      <w:pPr>
        <w:pStyle w:val="ListBullet"/>
      </w:pPr>
      <w:r>
        <w:t>Reporting discrimination, harassment, fraud, safety violations, or ethical concerns</w:t>
      </w:r>
    </w:p>
    <w:p>
      <w:pPr>
        <w:pStyle w:val="ListBullet"/>
      </w:pPr>
      <w:r>
        <w:t>Participating as a witness in an internal investigation</w:t>
      </w:r>
    </w:p>
    <w:p>
      <w:pPr>
        <w:pStyle w:val="ListBullet"/>
      </w:pPr>
      <w:r>
        <w:t>Filing a charge with a government agency (EEOC, OSHA, DOL, SEC, etc.)</w:t>
      </w:r>
    </w:p>
    <w:p>
      <w:pPr>
        <w:pStyle w:val="ListBullet"/>
      </w:pPr>
      <w:r>
        <w:t>Refusing to participate in activities they reasonably believe are unlawful</w:t>
      </w:r>
    </w:p>
    <w:p>
      <w:pPr>
        <w:pStyle w:val="ListBullet"/>
      </w:pPr>
      <w:r>
        <w:t>Requesting a reasonable accommodation for a disability or religious practice</w:t>
      </w:r>
    </w:p>
    <w:p>
      <w:pPr>
        <w:pStyle w:val="ListBullet"/>
      </w:pPr>
      <w:r>
        <w:t>Exercising rights under FMLA, ADA, FLSA, or other employment laws</w:t>
      </w:r>
    </w:p>
    <w:p>
      <w:pPr>
        <w:pStyle w:val="ListBullet"/>
      </w:pPr>
      <w:r>
        <w:t>Engaging in whistleblower activities</w:t>
      </w:r>
    </w:p>
    <w:p>
      <w:pPr>
        <w:pStyle w:val="Heading2"/>
      </w:pPr>
      <w:r>
        <w:t>3. Definition of Retaliation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Examples</w:t>
            </w:r>
          </w:p>
        </w:tc>
      </w:tr>
      <w:tr>
        <w:tc>
          <w:tcPr>
            <w:tcW w:type="dxa" w:w="4320"/>
          </w:tcPr>
          <w:p>
            <w:r>
              <w:t>Employment status</w:t>
            </w:r>
          </w:p>
        </w:tc>
        <w:tc>
          <w:tcPr>
            <w:tcW w:type="dxa" w:w="4320"/>
          </w:tcPr>
          <w:p>
            <w:r>
              <w:t>Termination, demotion, suspension, forced transfer</w:t>
            </w:r>
          </w:p>
        </w:tc>
      </w:tr>
      <w:tr>
        <w:tc>
          <w:tcPr>
            <w:tcW w:type="dxa" w:w="4320"/>
          </w:tcPr>
          <w:p>
            <w:r>
              <w:t>Compensation</w:t>
            </w:r>
          </w:p>
        </w:tc>
        <w:tc>
          <w:tcPr>
            <w:tcW w:type="dxa" w:w="4320"/>
          </w:tcPr>
          <w:p>
            <w:r>
              <w:t>Pay reduction, denial of bonus, reduced hours</w:t>
            </w:r>
          </w:p>
        </w:tc>
      </w:tr>
      <w:tr>
        <w:tc>
          <w:tcPr>
            <w:tcW w:type="dxa" w:w="4320"/>
          </w:tcPr>
          <w:p>
            <w:r>
              <w:t>Work conditions</w:t>
            </w:r>
          </w:p>
        </w:tc>
        <w:tc>
          <w:tcPr>
            <w:tcW w:type="dxa" w:w="4320"/>
          </w:tcPr>
          <w:p>
            <w:r>
              <w:t>Undesirable schedule changes, reassignment to menial tasks</w:t>
            </w:r>
          </w:p>
        </w:tc>
      </w:tr>
      <w:tr>
        <w:tc>
          <w:tcPr>
            <w:tcW w:type="dxa" w:w="4320"/>
          </w:tcPr>
          <w:p>
            <w:r>
              <w:t>Career impact</w:t>
            </w:r>
          </w:p>
        </w:tc>
        <w:tc>
          <w:tcPr>
            <w:tcW w:type="dxa" w:w="4320"/>
          </w:tcPr>
          <w:p>
            <w:r>
              <w:t>Denial of promotion, negative review, removal from training</w:t>
            </w:r>
          </w:p>
        </w:tc>
      </w:tr>
      <w:tr>
        <w:tc>
          <w:tcPr>
            <w:tcW w:type="dxa" w:w="4320"/>
          </w:tcPr>
          <w:p>
            <w:r>
              <w:t>Interpersonal</w:t>
            </w:r>
          </w:p>
        </w:tc>
        <w:tc>
          <w:tcPr>
            <w:tcW w:type="dxa" w:w="4320"/>
          </w:tcPr>
          <w:p>
            <w:r>
              <w:t>Harassment, intimidation, threats, hostile behavior</w:t>
            </w:r>
          </w:p>
        </w:tc>
      </w:tr>
      <w:tr>
        <w:tc>
          <w:tcPr>
            <w:tcW w:type="dxa" w:w="4320"/>
          </w:tcPr>
          <w:p>
            <w:r>
              <w:t>Social exclusion</w:t>
            </w:r>
          </w:p>
        </w:tc>
        <w:tc>
          <w:tcPr>
            <w:tcW w:type="dxa" w:w="4320"/>
          </w:tcPr>
          <w:p>
            <w:r>
              <w:t>Deliberate isolation, excluding from meetings or team events</w:t>
            </w:r>
          </w:p>
        </w:tc>
      </w:tr>
    </w:tbl>
    <w:p/>
    <w:p>
      <w:pPr>
        <w:pStyle w:val="Heading2"/>
      </w:pPr>
      <w:r>
        <w:t>4. Reporting Retaliation</w:t>
      </w:r>
    </w:p>
    <w:p>
      <w:r>
        <w:t>Employees who believe they are experiencing retaliation should document the adverse actions and report to Employee Relations at er@company.com or ext. 5500. The Ethics Hotline (1-800-ETHICS-1) is also available for anonymous reporting.</w:t>
      </w:r>
    </w:p>
    <w:p>
      <w:pPr>
        <w:pStyle w:val="Heading2"/>
      </w:pPr>
      <w:r>
        <w:t>5. Consequences</w:t>
      </w:r>
    </w:p>
    <w:p>
      <w:r>
        <w:t>If retaliation is substantiated, the retaliator will face disciplinary action up to and including termination. The company will take steps to restore the affected employee to their prior position, compensation, and standing.</w:t>
      </w:r>
    </w:p>
    <w:p/>
    <w:p>
      <w:r>
        <w:t>For questions, contact Employee Relations at er@company.com or the Legal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