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LVE-002: FMLA Guide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LVE-002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</w:tbl>
    <w:p/>
    <w:p>
      <w:pPr>
        <w:pStyle w:val="Heading2"/>
      </w:pPr>
      <w:r>
        <w:t>1. Overview</w:t>
      </w:r>
    </w:p>
    <w:p>
      <w:r>
        <w:t>The Family and Medical Leave Act (FMLA) provides eligible employees with up to 12 weeks of unpaid, job-protected leave per year for specified family and medical reasons.</w:t>
      </w:r>
    </w:p>
    <w:p>
      <w:pPr>
        <w:pStyle w:val="Heading2"/>
      </w:pPr>
      <w:r>
        <w:t>2. Eligibility</w:t>
      </w:r>
    </w:p>
    <w:p>
      <w:pPr>
        <w:pStyle w:val="ListBullet"/>
      </w:pPr>
      <w:r>
        <w:t>Employed for at least 12 months (not necessarily consecutive)</w:t>
      </w:r>
    </w:p>
    <w:p>
      <w:pPr>
        <w:pStyle w:val="ListBullet"/>
      </w:pPr>
      <w:r>
        <w:t>Worked at least 1,250 hours in the 12 months prior to leave</w:t>
      </w:r>
    </w:p>
    <w:p>
      <w:pPr>
        <w:pStyle w:val="ListBullet"/>
      </w:pPr>
      <w:r>
        <w:t>Work at a location where the company has at least 50 employees within 75 miles</w:t>
      </w:r>
    </w:p>
    <w:p>
      <w:pPr>
        <w:pStyle w:val="Heading2"/>
      </w:pPr>
      <w:r>
        <w:t>3. Qualifying Reasons</w:t>
      </w:r>
    </w:p>
    <w:p>
      <w:pPr>
        <w:pStyle w:val="ListBullet"/>
      </w:pPr>
      <w:r>
        <w:t>Birth, adoption, or foster placement of a child</w:t>
      </w:r>
    </w:p>
    <w:p>
      <w:pPr>
        <w:pStyle w:val="ListBullet"/>
      </w:pPr>
      <w:r>
        <w:t>Care for a spouse, child, or parent with a serious health condition</w:t>
      </w:r>
    </w:p>
    <w:p>
      <w:pPr>
        <w:pStyle w:val="ListBullet"/>
      </w:pPr>
      <w:r>
        <w:t>Employee's own serious health condition that prevents performing job duties</w:t>
      </w:r>
    </w:p>
    <w:p>
      <w:pPr>
        <w:pStyle w:val="ListBullet"/>
      </w:pPr>
      <w:r>
        <w:t>Qualifying exigency related to a family member's military service</w:t>
      </w:r>
    </w:p>
    <w:p>
      <w:pPr>
        <w:pStyle w:val="ListBullet"/>
      </w:pPr>
      <w:r>
        <w:t>Care for a covered servicemember with a serious injury (up to 26 weeks)</w:t>
      </w:r>
    </w:p>
    <w:p>
      <w:pPr>
        <w:pStyle w:val="Heading2"/>
      </w:pPr>
      <w:r>
        <w:t>4. Key Provisions</w:t>
      </w:r>
    </w:p>
    <w:p>
      <w:pPr>
        <w:pStyle w:val="ListBullet"/>
      </w:pPr>
      <w:r>
        <w:t>Leave may be taken continuously, intermittently, or on a reduced schedule</w:t>
      </w:r>
    </w:p>
    <w:p>
      <w:pPr>
        <w:pStyle w:val="ListBullet"/>
      </w:pPr>
      <w:r>
        <w:t>Health insurance continues at the same employee premium rate</w:t>
      </w:r>
    </w:p>
    <w:p>
      <w:pPr>
        <w:pStyle w:val="ListBullet"/>
      </w:pPr>
      <w:r>
        <w:t>Job protection: return to the same or equivalent position</w:t>
      </w:r>
    </w:p>
    <w:p>
      <w:pPr>
        <w:pStyle w:val="ListBullet"/>
      </w:pPr>
      <w:r>
        <w:t>30 days advance notice required when leave is foreseeable</w:t>
      </w:r>
    </w:p>
    <w:p>
      <w:pPr>
        <w:pStyle w:val="ListBullet"/>
      </w:pPr>
      <w:r>
        <w:t>Medical certification required for health-condition-based leave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