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PAY-003: Payroll Change Processing SLA</w:t>
      </w:r>
    </w:p>
    <w:tbl>
      <w:tblPr>
        <w:tblStyle w:val="LightGrid-Accent1"/>
        <w:tblW w:type="auto" w:w="0"/>
        <w:jc w:val="left"/>
        <w:tblLook w:firstColumn="1" w:firstRow="1" w:lastColumn="0" w:lastRow="0" w:noHBand="0" w:noVBand="1" w:val="04A0"/>
      </w:tblPr>
      <w:tblGrid>
        <w:gridCol w:w="4320"/>
        <w:gridCol w:w="4320"/>
      </w:tblGrid>
      <w:tr>
        <w:tc>
          <w:tcPr>
            <w:tcW w:type="dxa" w:w="4320"/>
          </w:tcPr>
          <w:p>
            <w:r>
              <w:t>Policy ID</w:t>
            </w:r>
          </w:p>
        </w:tc>
        <w:tc>
          <w:tcPr>
            <w:tcW w:type="dxa" w:w="4320"/>
          </w:tcPr>
          <w:p>
            <w:r>
              <w:t>PAY-003</w:t>
            </w:r>
          </w:p>
        </w:tc>
      </w:tr>
      <w:tr>
        <w:tc>
          <w:tcPr>
            <w:tcW w:type="dxa" w:w="4320"/>
          </w:tcPr>
          <w:p>
            <w:r>
              <w:t>Owner</w:t>
            </w:r>
          </w:p>
        </w:tc>
        <w:tc>
          <w:tcPr>
            <w:tcW w:type="dxa" w:w="4320"/>
          </w:tcPr>
          <w:p>
            <w:r>
              <w:t>Payroll Manager</w:t>
            </w:r>
          </w:p>
        </w:tc>
      </w:tr>
    </w:tbl>
    <w:p/>
    <w:p>
      <w:pPr>
        <w:pStyle w:val="Heading2"/>
      </w:pPr>
      <w:r>
        <w:t>1. Processing Timelines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Change Type</w:t>
            </w:r>
          </w:p>
        </w:tc>
        <w:tc>
          <w:tcPr>
            <w:tcW w:type="dxa" w:w="2160"/>
          </w:tcPr>
          <w:p>
            <w:r>
              <w:rPr>
                <w:b/>
              </w:rPr>
              <w:t>Risk Level</w:t>
            </w:r>
          </w:p>
        </w:tc>
        <w:tc>
          <w:tcPr>
            <w:tcW w:type="dxa" w:w="2160"/>
          </w:tcPr>
          <w:p>
            <w:r>
              <w:rPr>
                <w:b/>
              </w:rPr>
              <w:t>Processing Time</w:t>
            </w:r>
          </w:p>
        </w:tc>
        <w:tc>
          <w:tcPr>
            <w:tcW w:type="dxa" w:w="2160"/>
          </w:tcPr>
          <w:p>
            <w:r>
              <w:rPr>
                <w:b/>
              </w:rPr>
              <w:t>Approval Required</w:t>
            </w:r>
          </w:p>
        </w:tc>
      </w:tr>
      <w:tr>
        <w:tc>
          <w:tcPr>
            <w:tcW w:type="dxa" w:w="2160"/>
          </w:tcPr>
          <w:p>
            <w:r>
              <w:t>Address change (same state)</w:t>
            </w:r>
          </w:p>
        </w:tc>
        <w:tc>
          <w:tcPr>
            <w:tcW w:type="dxa" w:w="2160"/>
          </w:tcPr>
          <w:p>
            <w:r>
              <w:t>Low</w:t>
            </w:r>
          </w:p>
        </w:tc>
        <w:tc>
          <w:tcPr>
            <w:tcW w:type="dxa" w:w="2160"/>
          </w:tcPr>
          <w:p>
            <w:r>
              <w:t>2-3 business days</w:t>
            </w:r>
          </w:p>
        </w:tc>
        <w:tc>
          <w:tcPr>
            <w:tcW w:type="dxa" w:w="2160"/>
          </w:tcPr>
          <w:p>
            <w:r>
              <w:t>No (self-service)</w:t>
            </w:r>
          </w:p>
        </w:tc>
      </w:tr>
      <w:tr>
        <w:tc>
          <w:tcPr>
            <w:tcW w:type="dxa" w:w="2160"/>
          </w:tcPr>
          <w:p>
            <w:r>
              <w:t>Address change (cross-state)</w:t>
            </w:r>
          </w:p>
        </w:tc>
        <w:tc>
          <w:tcPr>
            <w:tcW w:type="dxa" w:w="2160"/>
          </w:tcPr>
          <w:p>
            <w:r>
              <w:t>Medium</w:t>
            </w:r>
          </w:p>
        </w:tc>
        <w:tc>
          <w:tcPr>
            <w:tcW w:type="dxa" w:w="2160"/>
          </w:tcPr>
          <w:p>
            <w:r>
              <w:t>5-7 business days</w:t>
            </w:r>
          </w:p>
        </w:tc>
        <w:tc>
          <w:tcPr>
            <w:tcW w:type="dxa" w:w="2160"/>
          </w:tcPr>
          <w:p>
            <w:r>
              <w:t>Payroll review</w:t>
            </w:r>
          </w:p>
        </w:tc>
      </w:tr>
      <w:tr>
        <w:tc>
          <w:tcPr>
            <w:tcW w:type="dxa" w:w="2160"/>
          </w:tcPr>
          <w:p>
            <w:r>
              <w:t>Direct deposit setup/change</w:t>
            </w:r>
          </w:p>
        </w:tc>
        <w:tc>
          <w:tcPr>
            <w:tcW w:type="dxa" w:w="2160"/>
          </w:tcPr>
          <w:p>
            <w:r>
              <w:t>High</w:t>
            </w:r>
          </w:p>
        </w:tc>
        <w:tc>
          <w:tcPr>
            <w:tcW w:type="dxa" w:w="2160"/>
          </w:tcPr>
          <w:p>
            <w:r>
              <w:t>Next pay cycle</w:t>
            </w:r>
          </w:p>
        </w:tc>
        <w:tc>
          <w:tcPr>
            <w:tcW w:type="dxa" w:w="2160"/>
          </w:tcPr>
          <w:p>
            <w:r>
              <w:t>Identity verification</w:t>
            </w:r>
          </w:p>
        </w:tc>
      </w:tr>
      <w:tr>
        <w:tc>
          <w:tcPr>
            <w:tcW w:type="dxa" w:w="2160"/>
          </w:tcPr>
          <w:p>
            <w:r>
              <w:t>W-4 / tax withholding change</w:t>
            </w:r>
          </w:p>
        </w:tc>
        <w:tc>
          <w:tcPr>
            <w:tcW w:type="dxa" w:w="2160"/>
          </w:tcPr>
          <w:p>
            <w:r>
              <w:t>Medium</w:t>
            </w:r>
          </w:p>
        </w:tc>
        <w:tc>
          <w:tcPr>
            <w:tcW w:type="dxa" w:w="2160"/>
          </w:tcPr>
          <w:p>
            <w:r>
              <w:t>Next pay cycle</w:t>
            </w:r>
          </w:p>
        </w:tc>
        <w:tc>
          <w:tcPr>
            <w:tcW w:type="dxa" w:w="2160"/>
          </w:tcPr>
          <w:p>
            <w:r>
              <w:t>No (self-service)</w:t>
            </w:r>
          </w:p>
        </w:tc>
      </w:tr>
      <w:tr>
        <w:tc>
          <w:tcPr>
            <w:tcW w:type="dxa" w:w="2160"/>
          </w:tcPr>
          <w:p>
            <w:r>
              <w:t>Legal name change</w:t>
            </w:r>
          </w:p>
        </w:tc>
        <w:tc>
          <w:tcPr>
            <w:tcW w:type="dxa" w:w="2160"/>
          </w:tcPr>
          <w:p>
            <w:r>
              <w:t>High</w:t>
            </w:r>
          </w:p>
        </w:tc>
        <w:tc>
          <w:tcPr>
            <w:tcW w:type="dxa" w:w="2160"/>
          </w:tcPr>
          <w:p>
            <w:r>
              <w:t>7-10 business days</w:t>
            </w:r>
          </w:p>
        </w:tc>
        <w:tc>
          <w:tcPr>
            <w:tcW w:type="dxa" w:w="2160"/>
          </w:tcPr>
          <w:p>
            <w:r>
              <w:t>HR Ops + documentation</w:t>
            </w:r>
          </w:p>
        </w:tc>
      </w:tr>
      <w:tr>
        <w:tc>
          <w:tcPr>
            <w:tcW w:type="dxa" w:w="2160"/>
          </w:tcPr>
          <w:p>
            <w:r>
              <w:t>Emergency contact update</w:t>
            </w:r>
          </w:p>
        </w:tc>
        <w:tc>
          <w:tcPr>
            <w:tcW w:type="dxa" w:w="2160"/>
          </w:tcPr>
          <w:p>
            <w:r>
              <w:t>Low</w:t>
            </w:r>
          </w:p>
        </w:tc>
        <w:tc>
          <w:tcPr>
            <w:tcW w:type="dxa" w:w="2160"/>
          </w:tcPr>
          <w:p>
            <w:r>
              <w:t>Immediate</w:t>
            </w:r>
          </w:p>
        </w:tc>
        <w:tc>
          <w:tcPr>
            <w:tcW w:type="dxa" w:w="2160"/>
          </w:tcPr>
          <w:p>
            <w:r>
              <w:t>No (self-service)</w:t>
            </w:r>
          </w:p>
        </w:tc>
      </w:tr>
      <w:tr>
        <w:tc>
          <w:tcPr>
            <w:tcW w:type="dxa" w:w="2160"/>
          </w:tcPr>
          <w:p>
            <w:r>
              <w:t>Preferred name change</w:t>
            </w:r>
          </w:p>
        </w:tc>
        <w:tc>
          <w:tcPr>
            <w:tcW w:type="dxa" w:w="2160"/>
          </w:tcPr>
          <w:p>
            <w:r>
              <w:t>Low</w:t>
            </w:r>
          </w:p>
        </w:tc>
        <w:tc>
          <w:tcPr>
            <w:tcW w:type="dxa" w:w="2160"/>
          </w:tcPr>
          <w:p>
            <w:r>
              <w:t>24-48 hours</w:t>
            </w:r>
          </w:p>
        </w:tc>
        <w:tc>
          <w:tcPr>
            <w:tcW w:type="dxa" w:w="2160"/>
          </w:tcPr>
          <w:p>
            <w:r>
              <w:t>No (self-service)</w:t>
            </w:r>
          </w:p>
        </w:tc>
      </w:tr>
      <w:tr>
        <w:tc>
          <w:tcPr>
            <w:tcW w:type="dxa" w:w="2160"/>
          </w:tcPr>
          <w:p>
            <w:r>
              <w:t>Beneficiary update</w:t>
            </w:r>
          </w:p>
        </w:tc>
        <w:tc>
          <w:tcPr>
            <w:tcW w:type="dxa" w:w="2160"/>
          </w:tcPr>
          <w:p>
            <w:r>
              <w:t>Medium</w:t>
            </w:r>
          </w:p>
        </w:tc>
        <w:tc>
          <w:tcPr>
            <w:tcW w:type="dxa" w:w="2160"/>
          </w:tcPr>
          <w:p>
            <w:r>
              <w:t>3-5 business days</w:t>
            </w:r>
          </w:p>
        </w:tc>
        <w:tc>
          <w:tcPr>
            <w:tcW w:type="dxa" w:w="2160"/>
          </w:tcPr>
          <w:p>
            <w:r>
              <w:t>No</w:t>
            </w:r>
          </w:p>
        </w:tc>
      </w:tr>
      <w:tr>
        <w:tc>
          <w:tcPr>
            <w:tcW w:type="dxa" w:w="2160"/>
          </w:tcPr>
          <w:p>
            <w:r>
              <w:t>New dependent addition</w:t>
            </w:r>
          </w:p>
        </w:tc>
        <w:tc>
          <w:tcPr>
            <w:tcW w:type="dxa" w:w="2160"/>
          </w:tcPr>
          <w:p>
            <w:r>
              <w:t>Medium</w:t>
            </w:r>
          </w:p>
        </w:tc>
        <w:tc>
          <w:tcPr>
            <w:tcW w:type="dxa" w:w="2160"/>
          </w:tcPr>
          <w:p>
            <w:r>
              <w:t>5-7 business days</w:t>
            </w:r>
          </w:p>
        </w:tc>
        <w:tc>
          <w:tcPr>
            <w:tcW w:type="dxa" w:w="2160"/>
          </w:tcPr>
          <w:p>
            <w:r>
              <w:t>Documentation required</w:t>
            </w:r>
          </w:p>
        </w:tc>
      </w:tr>
    </w:tbl>
    <w:p/>
    <w:p>
      <w:pPr>
        <w:pStyle w:val="Heading2"/>
      </w:pPr>
      <w:r>
        <w:t>2. Payroll Calendar</w:t>
      </w:r>
    </w:p>
    <w:p>
      <w:r>
        <w:t>Pay dates are bi-weekly (every other Friday). Changes must be submitted by end of day Tuesday to be reflected in the following Friday's paycheck. Changes submitted after the cutoff will be effective in the next pay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